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D016A" w14:textId="5C6F86E4" w:rsidR="001F49AA" w:rsidRPr="00BB63D5" w:rsidRDefault="000B0FDA" w:rsidP="000B0FDA">
      <w:pPr>
        <w:pStyle w:val="Title"/>
        <w:jc w:val="center"/>
        <w:rPr>
          <w:b/>
          <w:bCs/>
        </w:rPr>
      </w:pPr>
      <w:r w:rsidRPr="71D66562">
        <w:rPr>
          <w:b/>
          <w:bCs/>
        </w:rPr>
        <w:t>Minnesota State CPL Glossary</w:t>
      </w:r>
    </w:p>
    <w:tbl>
      <w:tblPr>
        <w:tblpPr w:leftFromText="180" w:rightFromText="180" w:vertAnchor="text" w:tblpX="-270" w:tblpY="1"/>
        <w:tblOverlap w:val="never"/>
        <w:tblW w:w="12975" w:type="dxa"/>
        <w:shd w:val="clear" w:color="auto" w:fill="FFFFFF"/>
        <w:tblCellMar>
          <w:top w:w="15" w:type="dxa"/>
          <w:left w:w="15" w:type="dxa"/>
          <w:bottom w:w="15" w:type="dxa"/>
          <w:right w:w="15" w:type="dxa"/>
        </w:tblCellMar>
        <w:tblLook w:val="04A0" w:firstRow="1" w:lastRow="0" w:firstColumn="1" w:lastColumn="0" w:noHBand="0" w:noVBand="1"/>
      </w:tblPr>
      <w:tblGrid>
        <w:gridCol w:w="3526"/>
        <w:gridCol w:w="9449"/>
      </w:tblGrid>
      <w:tr w:rsidR="000B0FDA" w:rsidRPr="00256811" w14:paraId="56E792FA" w14:textId="77777777" w:rsidTr="71D66562">
        <w:tc>
          <w:tcPr>
            <w:tcW w:w="3526" w:type="dxa"/>
            <w:tcBorders>
              <w:top w:val="nil"/>
              <w:bottom w:val="single" w:sz="12" w:space="0" w:color="FFD520"/>
            </w:tcBorders>
            <w:shd w:val="clear" w:color="auto" w:fill="FFFFFF" w:themeFill="background1"/>
            <w:tcMar>
              <w:top w:w="120" w:type="dxa"/>
              <w:left w:w="120" w:type="dxa"/>
              <w:bottom w:w="120" w:type="dxa"/>
              <w:right w:w="120" w:type="dxa"/>
            </w:tcMar>
            <w:vAlign w:val="bottom"/>
            <w:hideMark/>
          </w:tcPr>
          <w:p w14:paraId="1B15B2AF" w14:textId="77777777" w:rsidR="000B0FDA" w:rsidRPr="00256811" w:rsidRDefault="000B0FDA" w:rsidP="0098760C">
            <w:pPr>
              <w:rPr>
                <w:b/>
                <w:bCs/>
              </w:rPr>
            </w:pPr>
            <w:r w:rsidRPr="00256811">
              <w:rPr>
                <w:b/>
                <w:bCs/>
              </w:rPr>
              <w:t>Term</w:t>
            </w:r>
          </w:p>
        </w:tc>
        <w:tc>
          <w:tcPr>
            <w:tcW w:w="9449" w:type="dxa"/>
            <w:tcBorders>
              <w:top w:val="nil"/>
              <w:bottom w:val="single" w:sz="12" w:space="0" w:color="FFD520"/>
            </w:tcBorders>
            <w:shd w:val="clear" w:color="auto" w:fill="FFFFFF" w:themeFill="background1"/>
            <w:tcMar>
              <w:top w:w="120" w:type="dxa"/>
              <w:left w:w="120" w:type="dxa"/>
              <w:bottom w:w="120" w:type="dxa"/>
              <w:right w:w="120" w:type="dxa"/>
            </w:tcMar>
            <w:vAlign w:val="bottom"/>
            <w:hideMark/>
          </w:tcPr>
          <w:p w14:paraId="2A749E3F" w14:textId="77777777" w:rsidR="000B0FDA" w:rsidRPr="00256811" w:rsidRDefault="000B0FDA" w:rsidP="0098760C">
            <w:pPr>
              <w:rPr>
                <w:b/>
                <w:bCs/>
              </w:rPr>
            </w:pPr>
            <w:r w:rsidRPr="00256811">
              <w:rPr>
                <w:b/>
                <w:bCs/>
              </w:rPr>
              <w:t>Definition</w:t>
            </w:r>
          </w:p>
        </w:tc>
      </w:tr>
      <w:tr w:rsidR="000B0FDA" w:rsidRPr="00256811" w14:paraId="4EBA9EBC" w14:textId="77777777" w:rsidTr="71D66562">
        <w:tc>
          <w:tcPr>
            <w:tcW w:w="3526" w:type="dxa"/>
            <w:tcBorders>
              <w:top w:val="single" w:sz="6" w:space="0" w:color="DDDDDD"/>
            </w:tcBorders>
            <w:shd w:val="clear" w:color="auto" w:fill="FFFFFF" w:themeFill="background1"/>
            <w:tcMar>
              <w:top w:w="120" w:type="dxa"/>
              <w:left w:w="120" w:type="dxa"/>
              <w:bottom w:w="120" w:type="dxa"/>
              <w:right w:w="120" w:type="dxa"/>
            </w:tcMar>
            <w:hideMark/>
          </w:tcPr>
          <w:p w14:paraId="0CFE7497" w14:textId="77777777" w:rsidR="000B0FDA" w:rsidRPr="00256811" w:rsidRDefault="000B0FDA" w:rsidP="0098760C">
            <w:pPr>
              <w:rPr>
                <w:color w:val="4472C4" w:themeColor="accent1"/>
              </w:rPr>
            </w:pPr>
            <w:r w:rsidRPr="1A25EA49">
              <w:t>Advanced Placement (AP)</w:t>
            </w:r>
          </w:p>
        </w:tc>
        <w:tc>
          <w:tcPr>
            <w:tcW w:w="9449" w:type="dxa"/>
            <w:tcBorders>
              <w:top w:val="single" w:sz="6" w:space="0" w:color="DDDDDD"/>
            </w:tcBorders>
            <w:shd w:val="clear" w:color="auto" w:fill="FFFFFF" w:themeFill="background1"/>
            <w:tcMar>
              <w:top w:w="120" w:type="dxa"/>
              <w:left w:w="120" w:type="dxa"/>
              <w:bottom w:w="120" w:type="dxa"/>
              <w:right w:w="120" w:type="dxa"/>
            </w:tcMar>
            <w:hideMark/>
          </w:tcPr>
          <w:p w14:paraId="18CB6A53" w14:textId="77777777" w:rsidR="000B0FDA" w:rsidRPr="00256811" w:rsidRDefault="000B0FDA" w:rsidP="0098760C">
            <w:pPr>
              <w:rPr>
                <w:rFonts w:ascii="Calibri" w:eastAsia="Calibri" w:hAnsi="Calibri" w:cs="Calibri"/>
              </w:rPr>
            </w:pPr>
            <w:r w:rsidRPr="1A25EA49">
              <w:rPr>
                <w:rFonts w:ascii="Calibri" w:eastAsia="Calibri" w:hAnsi="Calibri" w:cs="Calibri"/>
                <w:color w:val="000000" w:themeColor="text1"/>
                <w:sz w:val="24"/>
                <w:szCs w:val="24"/>
              </w:rPr>
              <w:t>A program created by The College Board which offers college-level curricula and examinations to high school students. Colleges and universities use examination scores to determine course placement and award course credit to students.</w:t>
            </w:r>
          </w:p>
        </w:tc>
      </w:tr>
      <w:tr w:rsidR="77F4B539" w14:paraId="7732CED9" w14:textId="77777777" w:rsidTr="71D66562">
        <w:trPr>
          <w:trHeight w:val="300"/>
        </w:trPr>
        <w:tc>
          <w:tcPr>
            <w:tcW w:w="3526" w:type="dxa"/>
            <w:tcBorders>
              <w:top w:val="single" w:sz="6" w:space="0" w:color="DDDDDD"/>
            </w:tcBorders>
            <w:shd w:val="clear" w:color="auto" w:fill="FFFFFF" w:themeFill="background1"/>
            <w:tcMar>
              <w:top w:w="120" w:type="dxa"/>
              <w:left w:w="120" w:type="dxa"/>
              <w:bottom w:w="120" w:type="dxa"/>
              <w:right w:w="120" w:type="dxa"/>
            </w:tcMar>
            <w:hideMark/>
          </w:tcPr>
          <w:p w14:paraId="4DD35439" w14:textId="77777777" w:rsidR="77F4B539" w:rsidRDefault="77F4B539">
            <w:r>
              <w:t>Advisor</w:t>
            </w:r>
          </w:p>
        </w:tc>
        <w:tc>
          <w:tcPr>
            <w:tcW w:w="9449" w:type="dxa"/>
            <w:tcBorders>
              <w:top w:val="single" w:sz="6" w:space="0" w:color="DDDDDD"/>
            </w:tcBorders>
            <w:shd w:val="clear" w:color="auto" w:fill="FFFFFF" w:themeFill="background1"/>
            <w:tcMar>
              <w:top w:w="120" w:type="dxa"/>
              <w:left w:w="120" w:type="dxa"/>
              <w:bottom w:w="120" w:type="dxa"/>
              <w:right w:w="120" w:type="dxa"/>
            </w:tcMar>
            <w:hideMark/>
          </w:tcPr>
          <w:p w14:paraId="27072B10" w14:textId="4F910D05" w:rsidR="77F4B539" w:rsidRDefault="77F4B539">
            <w:r>
              <w:t>A mentor or guide who is typically available to assist students in things such as course registration degree completion requirements, a variety of campus processes, and more.</w:t>
            </w:r>
          </w:p>
        </w:tc>
      </w:tr>
      <w:tr w:rsidR="000B0FDA" w:rsidRPr="005914EA" w14:paraId="6067671D" w14:textId="77777777" w:rsidTr="71D66562">
        <w:tc>
          <w:tcPr>
            <w:tcW w:w="3526" w:type="dxa"/>
            <w:tcBorders>
              <w:top w:val="single" w:sz="6" w:space="0" w:color="DDDDDD"/>
            </w:tcBorders>
            <w:shd w:val="clear" w:color="auto" w:fill="FFFFFF" w:themeFill="background1"/>
            <w:tcMar>
              <w:top w:w="120" w:type="dxa"/>
              <w:left w:w="120" w:type="dxa"/>
              <w:bottom w:w="120" w:type="dxa"/>
              <w:right w:w="120" w:type="dxa"/>
            </w:tcMar>
          </w:tcPr>
          <w:p w14:paraId="7F031ACD" w14:textId="77777777" w:rsidR="000B0FDA" w:rsidRPr="005914EA" w:rsidRDefault="000B0FDA" w:rsidP="0098760C">
            <w:r w:rsidRPr="1A25EA49">
              <w:t>American Council of Education (ACE) credit recommendation</w:t>
            </w:r>
          </w:p>
        </w:tc>
        <w:tc>
          <w:tcPr>
            <w:tcW w:w="9449" w:type="dxa"/>
            <w:tcBorders>
              <w:top w:val="single" w:sz="6" w:space="0" w:color="DDDDDD"/>
            </w:tcBorders>
            <w:shd w:val="clear" w:color="auto" w:fill="FFFFFF" w:themeFill="background1"/>
            <w:tcMar>
              <w:top w:w="120" w:type="dxa"/>
              <w:left w:w="120" w:type="dxa"/>
              <w:bottom w:w="120" w:type="dxa"/>
              <w:right w:w="120" w:type="dxa"/>
            </w:tcMar>
          </w:tcPr>
          <w:p w14:paraId="352826DB" w14:textId="77777777" w:rsidR="000B0FDA" w:rsidRPr="005914EA" w:rsidRDefault="000B0FDA" w:rsidP="0098760C">
            <w:r w:rsidRPr="7D96A778">
              <w:t>ACE validates a wide variety of education and training programs from courses to examinations, including languages, certifications, workplace training, apprenticeship programs, and through a Department of Defense contract, military training courses and occupations.</w:t>
            </w:r>
          </w:p>
        </w:tc>
      </w:tr>
      <w:tr w:rsidR="000B0FDA" w:rsidRPr="00256811" w14:paraId="415FD931" w14:textId="77777777" w:rsidTr="71D66562">
        <w:tc>
          <w:tcPr>
            <w:tcW w:w="3526" w:type="dxa"/>
            <w:tcBorders>
              <w:top w:val="single" w:sz="6" w:space="0" w:color="DDDDDD"/>
            </w:tcBorders>
            <w:shd w:val="clear" w:color="auto" w:fill="FFFFFF" w:themeFill="background1"/>
            <w:tcMar>
              <w:top w:w="120" w:type="dxa"/>
              <w:left w:w="120" w:type="dxa"/>
              <w:bottom w:w="120" w:type="dxa"/>
              <w:right w:w="120" w:type="dxa"/>
            </w:tcMar>
          </w:tcPr>
          <w:p w14:paraId="79EBAF47" w14:textId="77777777" w:rsidR="000B0FDA" w:rsidRPr="00256811" w:rsidRDefault="000B0FDA" w:rsidP="0098760C">
            <w:r>
              <w:t>ACE Military Guide</w:t>
            </w:r>
          </w:p>
        </w:tc>
        <w:tc>
          <w:tcPr>
            <w:tcW w:w="9449" w:type="dxa"/>
            <w:tcBorders>
              <w:top w:val="single" w:sz="6" w:space="0" w:color="DDDDDD"/>
            </w:tcBorders>
            <w:shd w:val="clear" w:color="auto" w:fill="FFFFFF" w:themeFill="background1"/>
            <w:tcMar>
              <w:top w:w="120" w:type="dxa"/>
              <w:left w:w="120" w:type="dxa"/>
              <w:bottom w:w="120" w:type="dxa"/>
              <w:right w:w="120" w:type="dxa"/>
            </w:tcMar>
          </w:tcPr>
          <w:p w14:paraId="61B03EA3" w14:textId="77777777" w:rsidR="000B0FDA" w:rsidRPr="00256811" w:rsidRDefault="000B0FDA" w:rsidP="0098760C">
            <w:pPr>
              <w:rPr>
                <w:rFonts w:ascii="Calibri" w:eastAsia="Calibri" w:hAnsi="Calibri" w:cs="Calibri"/>
              </w:rPr>
            </w:pPr>
            <w:r w:rsidRPr="1A25EA49">
              <w:rPr>
                <w:rFonts w:ascii="Calibri" w:eastAsia="Calibri" w:hAnsi="Calibri" w:cs="Calibri"/>
                <w:color w:val="232529"/>
                <w:sz w:val="24"/>
                <w:szCs w:val="24"/>
              </w:rPr>
              <w:t>The ACE Military Guide</w:t>
            </w:r>
            <w:r w:rsidRPr="1A25EA49">
              <w:rPr>
                <w:color w:val="4472C4" w:themeColor="accent1"/>
              </w:rPr>
              <w:t xml:space="preserve"> </w:t>
            </w:r>
            <w:r w:rsidRPr="1A25EA49">
              <w:rPr>
                <w:rFonts w:ascii="Calibri" w:eastAsia="Calibri" w:hAnsi="Calibri" w:cs="Calibri"/>
                <w:color w:val="232529"/>
                <w:sz w:val="24"/>
                <w:szCs w:val="24"/>
              </w:rPr>
              <w:t xml:space="preserve">recommends college credit for formal courses offered by all branches of the military and for military occupations and </w:t>
            </w:r>
            <w:bookmarkStart w:id="0" w:name="_Int_8mumMhQb"/>
            <w:r w:rsidRPr="1A25EA49">
              <w:rPr>
                <w:rFonts w:ascii="Calibri" w:eastAsia="Calibri" w:hAnsi="Calibri" w:cs="Calibri"/>
                <w:color w:val="232529"/>
                <w:sz w:val="24"/>
                <w:szCs w:val="24"/>
              </w:rPr>
              <w:t>dates back to</w:t>
            </w:r>
            <w:bookmarkEnd w:id="0"/>
            <w:r w:rsidRPr="1A25EA49">
              <w:rPr>
                <w:rFonts w:ascii="Calibri" w:eastAsia="Calibri" w:hAnsi="Calibri" w:cs="Calibri"/>
                <w:color w:val="232529"/>
                <w:sz w:val="24"/>
                <w:szCs w:val="24"/>
              </w:rPr>
              <w:t xml:space="preserve"> 1954. These recommendations appear on the service member’s Joint Services Transcript (JST). </w:t>
            </w:r>
          </w:p>
        </w:tc>
      </w:tr>
      <w:tr w:rsidR="000B0FDA" w:rsidRPr="00256811" w14:paraId="1CD65DA2" w14:textId="77777777" w:rsidTr="71D66562">
        <w:tc>
          <w:tcPr>
            <w:tcW w:w="3526" w:type="dxa"/>
            <w:tcBorders>
              <w:top w:val="single" w:sz="6" w:space="0" w:color="DDDDDD"/>
            </w:tcBorders>
            <w:shd w:val="clear" w:color="auto" w:fill="FFFFFF" w:themeFill="background1"/>
            <w:tcMar>
              <w:top w:w="120" w:type="dxa"/>
              <w:left w:w="120" w:type="dxa"/>
              <w:bottom w:w="120" w:type="dxa"/>
              <w:right w:w="120" w:type="dxa"/>
            </w:tcMar>
          </w:tcPr>
          <w:p w14:paraId="71AF9CCF" w14:textId="77777777" w:rsidR="000B0FDA" w:rsidRDefault="000B0FDA" w:rsidP="0098760C">
            <w:r w:rsidRPr="1A25EA49">
              <w:t>Apprenticeship Programs</w:t>
            </w:r>
          </w:p>
          <w:p w14:paraId="791F9F7E" w14:textId="77777777" w:rsidR="000B0FDA" w:rsidRDefault="000B0FDA" w:rsidP="0098760C"/>
        </w:tc>
        <w:tc>
          <w:tcPr>
            <w:tcW w:w="9449" w:type="dxa"/>
            <w:tcBorders>
              <w:top w:val="single" w:sz="6" w:space="0" w:color="DDDDDD"/>
            </w:tcBorders>
            <w:shd w:val="clear" w:color="auto" w:fill="FFFFFF" w:themeFill="background1"/>
            <w:tcMar>
              <w:top w:w="120" w:type="dxa"/>
              <w:left w:w="120" w:type="dxa"/>
              <w:bottom w:w="120" w:type="dxa"/>
              <w:right w:w="120" w:type="dxa"/>
            </w:tcMar>
          </w:tcPr>
          <w:p w14:paraId="40CC05F4" w14:textId="77777777" w:rsidR="000B0FDA" w:rsidRDefault="000B0FDA" w:rsidP="0098760C">
            <w:r w:rsidRPr="11D89627">
              <w:t>Apprenticeship-type programs</w:t>
            </w:r>
          </w:p>
          <w:p w14:paraId="6E0D2A05" w14:textId="77777777" w:rsidR="000B0FDA" w:rsidRDefault="000B0FDA" w:rsidP="0098760C">
            <w:pPr>
              <w:ind w:left="720"/>
            </w:pPr>
            <w:r>
              <w:t xml:space="preserve">ACE evaluated and credit recommended apprenticeship-type programs modeled after registered apprenticeship programs. Typically, these programs are not approved by federal or state regulators.  </w:t>
            </w:r>
          </w:p>
          <w:p w14:paraId="6CD0AEFF" w14:textId="77777777" w:rsidR="000B0FDA" w:rsidRPr="00256811" w:rsidRDefault="000B0FDA" w:rsidP="0098760C">
            <w:r w:rsidRPr="7D96A778">
              <w:t>Registered apprenticeship programs</w:t>
            </w:r>
            <w:r>
              <w:br/>
            </w:r>
            <w:r w:rsidRPr="7D96A778">
              <w:t>A formal system of employee training that combines structured on-the-job training with related technical instruction. Upon successful completion, participants are fully competent in all aspects of an occupation, including knowledge, skill, and proficiency on the job. With apprenticeship training, there is a written contract between the apprentice and the sponsor, approved by and registered with the state of Minnesota that specifies the length of the training, school hours, an outline of the skills of the trade to be learned, and the wages the apprentice will receive.</w:t>
            </w:r>
          </w:p>
        </w:tc>
      </w:tr>
      <w:tr w:rsidR="000B0FDA" w:rsidRPr="0077742D" w14:paraId="73CA7EE4" w14:textId="77777777" w:rsidTr="71D66562">
        <w:tc>
          <w:tcPr>
            <w:tcW w:w="3526" w:type="dxa"/>
            <w:tcBorders>
              <w:top w:val="single" w:sz="6" w:space="0" w:color="DDDDDD"/>
            </w:tcBorders>
            <w:shd w:val="clear" w:color="auto" w:fill="FFFFFF" w:themeFill="background1"/>
            <w:tcMar>
              <w:top w:w="120" w:type="dxa"/>
              <w:left w:w="120" w:type="dxa"/>
              <w:bottom w:w="120" w:type="dxa"/>
              <w:right w:w="120" w:type="dxa"/>
            </w:tcMar>
          </w:tcPr>
          <w:p w14:paraId="5AB3C578" w14:textId="77777777" w:rsidR="000B0FDA" w:rsidRPr="0077742D" w:rsidRDefault="000B0FDA" w:rsidP="0098760C">
            <w:pPr>
              <w:rPr>
                <w:color w:val="4472C4" w:themeColor="accent1"/>
              </w:rPr>
            </w:pPr>
            <w:r w:rsidRPr="1A25EA49">
              <w:lastRenderedPageBreak/>
              <w:t>The College Board </w:t>
            </w:r>
          </w:p>
        </w:tc>
        <w:tc>
          <w:tcPr>
            <w:tcW w:w="9449" w:type="dxa"/>
            <w:tcBorders>
              <w:top w:val="single" w:sz="6" w:space="0" w:color="DDDDDD"/>
            </w:tcBorders>
            <w:shd w:val="clear" w:color="auto" w:fill="FFFFFF" w:themeFill="background1"/>
            <w:tcMar>
              <w:top w:w="120" w:type="dxa"/>
              <w:left w:w="120" w:type="dxa"/>
              <w:bottom w:w="120" w:type="dxa"/>
              <w:right w:w="120" w:type="dxa"/>
            </w:tcMar>
          </w:tcPr>
          <w:p w14:paraId="3DAB683B" w14:textId="77777777" w:rsidR="000B0FDA" w:rsidRPr="0077742D" w:rsidRDefault="000B0FDA" w:rsidP="0098760C">
            <w:pPr>
              <w:rPr>
                <w:rFonts w:ascii="Calibri" w:eastAsia="Calibri" w:hAnsi="Calibri" w:cs="Calibri"/>
              </w:rPr>
            </w:pPr>
            <w:r w:rsidRPr="1A25EA49">
              <w:rPr>
                <w:rFonts w:ascii="Calibri" w:eastAsia="Calibri" w:hAnsi="Calibri" w:cs="Calibri"/>
                <w:color w:val="000000" w:themeColor="text1"/>
                <w:sz w:val="24"/>
                <w:szCs w:val="24"/>
              </w:rPr>
              <w:t xml:space="preserve">A non-profit organization that prepares and administers standardized exams used by colleges and universities for student admissions, placement, and the award of credit for prior learning. </w:t>
            </w:r>
          </w:p>
        </w:tc>
      </w:tr>
      <w:tr w:rsidR="000B0FDA" w:rsidRPr="00256811" w14:paraId="7BF0A90B" w14:textId="77777777" w:rsidTr="71D66562">
        <w:tc>
          <w:tcPr>
            <w:tcW w:w="3526" w:type="dxa"/>
            <w:tcBorders>
              <w:top w:val="single" w:sz="6" w:space="0" w:color="DDDDDD"/>
            </w:tcBorders>
            <w:shd w:val="clear" w:color="auto" w:fill="FFFFFF" w:themeFill="background1"/>
            <w:tcMar>
              <w:top w:w="120" w:type="dxa"/>
              <w:left w:w="120" w:type="dxa"/>
              <w:bottom w:w="120" w:type="dxa"/>
              <w:right w:w="120" w:type="dxa"/>
            </w:tcMar>
            <w:hideMark/>
          </w:tcPr>
          <w:p w14:paraId="3A72DA67" w14:textId="77777777" w:rsidR="000B0FDA" w:rsidRPr="00256811" w:rsidRDefault="000B0FDA" w:rsidP="0098760C">
            <w:r w:rsidRPr="1A25EA49">
              <w:t>College-Level Examination Program (CLEP) examinations </w:t>
            </w:r>
          </w:p>
        </w:tc>
        <w:tc>
          <w:tcPr>
            <w:tcW w:w="9449" w:type="dxa"/>
            <w:tcBorders>
              <w:top w:val="single" w:sz="6" w:space="0" w:color="DDDDDD"/>
            </w:tcBorders>
            <w:shd w:val="clear" w:color="auto" w:fill="FFFFFF" w:themeFill="background1"/>
            <w:tcMar>
              <w:top w:w="120" w:type="dxa"/>
              <w:left w:w="120" w:type="dxa"/>
              <w:bottom w:w="120" w:type="dxa"/>
              <w:right w:w="120" w:type="dxa"/>
            </w:tcMar>
            <w:hideMark/>
          </w:tcPr>
          <w:p w14:paraId="633178B5" w14:textId="77777777" w:rsidR="000B0FDA" w:rsidRPr="00256811" w:rsidRDefault="000B0FDA" w:rsidP="0098760C">
            <w:pPr>
              <w:rPr>
                <w:rFonts w:ascii="Calibri" w:eastAsia="Calibri" w:hAnsi="Calibri" w:cs="Calibri"/>
              </w:rPr>
            </w:pPr>
            <w:r w:rsidRPr="0D1AC6DF">
              <w:rPr>
                <w:rFonts w:ascii="Calibri" w:eastAsia="Calibri" w:hAnsi="Calibri" w:cs="Calibri"/>
                <w:color w:val="000000" w:themeColor="text1"/>
                <w:sz w:val="24"/>
                <w:szCs w:val="24"/>
              </w:rPr>
              <w:t>CLEP examinations, prepared and administered by The College Board, are designed to assess student knowledge of lower division college and university course material in specific subject areas.</w:t>
            </w:r>
          </w:p>
        </w:tc>
      </w:tr>
      <w:tr w:rsidR="000B0FDA" w:rsidRPr="00256811" w14:paraId="5C37C2E7" w14:textId="77777777" w:rsidTr="71D66562">
        <w:tc>
          <w:tcPr>
            <w:tcW w:w="3526" w:type="dxa"/>
            <w:tcBorders>
              <w:top w:val="single" w:sz="6" w:space="0" w:color="DDDDDD"/>
            </w:tcBorders>
            <w:shd w:val="clear" w:color="auto" w:fill="FFFFFF" w:themeFill="background1"/>
            <w:tcMar>
              <w:top w:w="120" w:type="dxa"/>
              <w:left w:w="120" w:type="dxa"/>
              <w:bottom w:w="120" w:type="dxa"/>
              <w:right w:w="120" w:type="dxa"/>
            </w:tcMar>
            <w:hideMark/>
          </w:tcPr>
          <w:p w14:paraId="5A91FD69" w14:textId="77777777" w:rsidR="000B0FDA" w:rsidRPr="00256811" w:rsidRDefault="000B0FDA" w:rsidP="0098760C">
            <w:r w:rsidRPr="00256811">
              <w:t>College Level Learning</w:t>
            </w:r>
          </w:p>
        </w:tc>
        <w:tc>
          <w:tcPr>
            <w:tcW w:w="9449" w:type="dxa"/>
            <w:tcBorders>
              <w:top w:val="single" w:sz="6" w:space="0" w:color="DDDDDD"/>
            </w:tcBorders>
            <w:shd w:val="clear" w:color="auto" w:fill="FFFFFF" w:themeFill="background1"/>
            <w:tcMar>
              <w:top w:w="120" w:type="dxa"/>
              <w:left w:w="120" w:type="dxa"/>
              <w:bottom w:w="120" w:type="dxa"/>
              <w:right w:w="120" w:type="dxa"/>
            </w:tcMar>
            <w:hideMark/>
          </w:tcPr>
          <w:p w14:paraId="2DB38D12" w14:textId="77777777" w:rsidR="000B0FDA" w:rsidRPr="00256811" w:rsidRDefault="000B0FDA" w:rsidP="0098760C">
            <w:r w:rsidRPr="00256811">
              <w:t>Learning that is equal to the level of learning a student would experience at college or university. To evaluate learning college course learning outcomes (what is learned from a course or experience) are compared with the learning outcomes achieved outside of a traditional college setting.</w:t>
            </w:r>
          </w:p>
        </w:tc>
      </w:tr>
      <w:tr w:rsidR="000B0FDA" w:rsidRPr="00256811" w14:paraId="742AB6B6" w14:textId="77777777" w:rsidTr="71D66562">
        <w:tc>
          <w:tcPr>
            <w:tcW w:w="3526" w:type="dxa"/>
            <w:tcBorders>
              <w:top w:val="single" w:sz="6" w:space="0" w:color="DDDDDD"/>
            </w:tcBorders>
            <w:shd w:val="clear" w:color="auto" w:fill="FFFFFF" w:themeFill="background1"/>
            <w:tcMar>
              <w:top w:w="120" w:type="dxa"/>
              <w:left w:w="120" w:type="dxa"/>
              <w:bottom w:w="120" w:type="dxa"/>
              <w:right w:w="120" w:type="dxa"/>
            </w:tcMar>
          </w:tcPr>
          <w:p w14:paraId="623D102D" w14:textId="77777777" w:rsidR="000B0FDA" w:rsidRDefault="000B0FDA" w:rsidP="0098760C">
            <w:r>
              <w:t>Community College of the Airforce Transcript</w:t>
            </w:r>
          </w:p>
          <w:p w14:paraId="5BA27CA4" w14:textId="77777777" w:rsidR="000B0FDA" w:rsidRDefault="000B0FDA" w:rsidP="0098760C">
            <w:pPr>
              <w:tabs>
                <w:tab w:val="num" w:pos="720"/>
              </w:tabs>
            </w:pPr>
          </w:p>
        </w:tc>
        <w:tc>
          <w:tcPr>
            <w:tcW w:w="9449" w:type="dxa"/>
            <w:tcBorders>
              <w:top w:val="single" w:sz="6" w:space="0" w:color="DDDDDD"/>
            </w:tcBorders>
            <w:shd w:val="clear" w:color="auto" w:fill="FFFFFF" w:themeFill="background1"/>
            <w:tcMar>
              <w:top w:w="120" w:type="dxa"/>
              <w:left w:w="120" w:type="dxa"/>
              <w:bottom w:w="120" w:type="dxa"/>
              <w:right w:w="120" w:type="dxa"/>
            </w:tcMar>
          </w:tcPr>
          <w:p w14:paraId="039487CF" w14:textId="77777777" w:rsidR="000B0FDA" w:rsidRPr="00256811" w:rsidRDefault="000B0FDA" w:rsidP="0098760C">
            <w:r>
              <w:t>The official transcript of Airforce training is used to grant Credit for Prior Learning/Transfer credit to servicemembers.</w:t>
            </w:r>
          </w:p>
        </w:tc>
      </w:tr>
      <w:tr w:rsidR="000B0FDA" w:rsidRPr="00256811" w14:paraId="29F67F58" w14:textId="77777777" w:rsidTr="71D66562">
        <w:tc>
          <w:tcPr>
            <w:tcW w:w="3526" w:type="dxa"/>
            <w:tcBorders>
              <w:top w:val="single" w:sz="6" w:space="0" w:color="DDDDDD"/>
            </w:tcBorders>
            <w:shd w:val="clear" w:color="auto" w:fill="FFFFFF" w:themeFill="background1"/>
            <w:tcMar>
              <w:top w:w="120" w:type="dxa"/>
              <w:left w:w="120" w:type="dxa"/>
              <w:bottom w:w="120" w:type="dxa"/>
              <w:right w:w="120" w:type="dxa"/>
            </w:tcMar>
            <w:hideMark/>
          </w:tcPr>
          <w:p w14:paraId="285EBAF2" w14:textId="77777777" w:rsidR="000B0FDA" w:rsidRPr="00256811" w:rsidRDefault="000B0FDA" w:rsidP="0098760C">
            <w:r w:rsidRPr="1A25EA49">
              <w:t>Credit For Prior Learning (CPL)</w:t>
            </w:r>
          </w:p>
        </w:tc>
        <w:tc>
          <w:tcPr>
            <w:tcW w:w="9449" w:type="dxa"/>
            <w:tcBorders>
              <w:top w:val="single" w:sz="6" w:space="0" w:color="DDDDDD"/>
            </w:tcBorders>
            <w:shd w:val="clear" w:color="auto" w:fill="FFFFFF" w:themeFill="background1"/>
            <w:tcMar>
              <w:top w:w="120" w:type="dxa"/>
              <w:left w:w="120" w:type="dxa"/>
              <w:bottom w:w="120" w:type="dxa"/>
              <w:right w:w="120" w:type="dxa"/>
            </w:tcMar>
            <w:hideMark/>
          </w:tcPr>
          <w:p w14:paraId="553694C7" w14:textId="77777777" w:rsidR="000B0FDA" w:rsidRPr="00256811" w:rsidRDefault="000B0FDA" w:rsidP="0098760C">
            <w:pPr>
              <w:rPr>
                <w:rFonts w:ascii="Calibri" w:eastAsia="Calibri" w:hAnsi="Calibri" w:cs="Calibri"/>
              </w:rPr>
            </w:pPr>
            <w:r w:rsidRPr="1A25EA49">
              <w:rPr>
                <w:rFonts w:ascii="Calibri" w:eastAsia="Calibri" w:hAnsi="Calibri" w:cs="Calibri"/>
                <w:color w:val="000000" w:themeColor="text1"/>
                <w:sz w:val="24"/>
                <w:szCs w:val="24"/>
              </w:rPr>
              <w:t>Academic credit awarded for demonstrated competence at the college- and university-level gained through learning experiences outside college or university credit-bearing courses and assessed by academically sound and rigorous methods and processes.</w:t>
            </w:r>
          </w:p>
        </w:tc>
      </w:tr>
      <w:tr w:rsidR="000B0FDA" w14:paraId="5B647CE0" w14:textId="77777777" w:rsidTr="71D66562">
        <w:tc>
          <w:tcPr>
            <w:tcW w:w="3526" w:type="dxa"/>
            <w:tcBorders>
              <w:top w:val="single" w:sz="6" w:space="0" w:color="DDDDDD"/>
            </w:tcBorders>
            <w:shd w:val="clear" w:color="auto" w:fill="FFFFFF" w:themeFill="background1"/>
            <w:tcMar>
              <w:top w:w="120" w:type="dxa"/>
              <w:left w:w="120" w:type="dxa"/>
              <w:bottom w:w="120" w:type="dxa"/>
              <w:right w:w="120" w:type="dxa"/>
            </w:tcMar>
            <w:hideMark/>
          </w:tcPr>
          <w:p w14:paraId="2A551219" w14:textId="77777777" w:rsidR="000B0FDA" w:rsidRDefault="000B0FDA" w:rsidP="0098760C">
            <w:r w:rsidRPr="1A25EA49">
              <w:t>Competence</w:t>
            </w:r>
          </w:p>
        </w:tc>
        <w:tc>
          <w:tcPr>
            <w:tcW w:w="9449" w:type="dxa"/>
            <w:tcBorders>
              <w:top w:val="single" w:sz="6" w:space="0" w:color="DDDDDD"/>
            </w:tcBorders>
            <w:shd w:val="clear" w:color="auto" w:fill="FFFFFF" w:themeFill="background1"/>
            <w:tcMar>
              <w:top w:w="120" w:type="dxa"/>
              <w:left w:w="120" w:type="dxa"/>
              <w:bottom w:w="120" w:type="dxa"/>
              <w:right w:w="120" w:type="dxa"/>
            </w:tcMar>
            <w:hideMark/>
          </w:tcPr>
          <w:p w14:paraId="1CA4051A" w14:textId="77777777" w:rsidR="000B0FDA" w:rsidRDefault="000B0FDA" w:rsidP="0098760C">
            <w:r w:rsidRPr="0D1AC6DF">
              <w:t>Learning outcomes that demonstrate knowledge and/or skills proficiency in a standardized or individualized subject.</w:t>
            </w:r>
          </w:p>
        </w:tc>
      </w:tr>
      <w:tr w:rsidR="000B0FDA" w14:paraId="31D2F083" w14:textId="77777777" w:rsidTr="71D66562">
        <w:tc>
          <w:tcPr>
            <w:tcW w:w="3526" w:type="dxa"/>
            <w:tcBorders>
              <w:top w:val="single" w:sz="6" w:space="0" w:color="DDDDDD"/>
            </w:tcBorders>
            <w:shd w:val="clear" w:color="auto" w:fill="FFFFFF" w:themeFill="background1"/>
            <w:tcMar>
              <w:top w:w="120" w:type="dxa"/>
              <w:left w:w="120" w:type="dxa"/>
              <w:bottom w:w="120" w:type="dxa"/>
              <w:right w:w="120" w:type="dxa"/>
            </w:tcMar>
          </w:tcPr>
          <w:p w14:paraId="391793B0" w14:textId="77777777" w:rsidR="000B0FDA" w:rsidRDefault="000B0FDA" w:rsidP="0098760C">
            <w:r w:rsidRPr="1A25EA49">
              <w:t>Competence-to-credit comparability</w:t>
            </w:r>
          </w:p>
        </w:tc>
        <w:tc>
          <w:tcPr>
            <w:tcW w:w="9449" w:type="dxa"/>
            <w:tcBorders>
              <w:top w:val="single" w:sz="6" w:space="0" w:color="DDDDDD"/>
            </w:tcBorders>
            <w:shd w:val="clear" w:color="auto" w:fill="FFFFFF" w:themeFill="background1"/>
            <w:tcMar>
              <w:top w:w="120" w:type="dxa"/>
              <w:left w:w="120" w:type="dxa"/>
              <w:bottom w:w="120" w:type="dxa"/>
              <w:right w:w="120" w:type="dxa"/>
            </w:tcMar>
          </w:tcPr>
          <w:p w14:paraId="58899982" w14:textId="77777777" w:rsidR="000B0FDA" w:rsidRDefault="000B0FDA" w:rsidP="0098760C">
            <w:pPr>
              <w:rPr>
                <w:rFonts w:ascii="Calibri" w:eastAsia="Calibri" w:hAnsi="Calibri" w:cs="Calibri"/>
                <w:sz w:val="24"/>
                <w:szCs w:val="24"/>
              </w:rPr>
            </w:pPr>
            <w:r w:rsidRPr="0D1AC6DF">
              <w:rPr>
                <w:rFonts w:ascii="Calibri" w:eastAsia="Calibri" w:hAnsi="Calibri" w:cs="Calibri"/>
                <w:color w:val="000000" w:themeColor="text1"/>
                <w:sz w:val="24"/>
                <w:szCs w:val="24"/>
              </w:rPr>
              <w:t>Comparison of competence-based learning outcomes to the scope and levels of credit-hour-based learning outcomes to establish credit measures or equivalencies.</w:t>
            </w:r>
          </w:p>
        </w:tc>
      </w:tr>
      <w:tr w:rsidR="000B0FDA" w:rsidRPr="005914EA" w14:paraId="465A974F" w14:textId="77777777" w:rsidTr="71D66562">
        <w:tc>
          <w:tcPr>
            <w:tcW w:w="3526" w:type="dxa"/>
            <w:tcBorders>
              <w:top w:val="single" w:sz="6" w:space="0" w:color="DDDDDD"/>
            </w:tcBorders>
            <w:shd w:val="clear" w:color="auto" w:fill="FFFFFF" w:themeFill="background1"/>
            <w:tcMar>
              <w:top w:w="120" w:type="dxa"/>
              <w:left w:w="120" w:type="dxa"/>
              <w:bottom w:w="120" w:type="dxa"/>
              <w:right w:w="120" w:type="dxa"/>
            </w:tcMar>
          </w:tcPr>
          <w:p w14:paraId="046194BB" w14:textId="77777777" w:rsidR="000B0FDA" w:rsidRPr="005914EA" w:rsidRDefault="000B0FDA" w:rsidP="0098760C">
            <w:r w:rsidRPr="1A25EA49">
              <w:t>Continuing education </w:t>
            </w:r>
          </w:p>
          <w:p w14:paraId="2E9373D2" w14:textId="77777777" w:rsidR="000B0FDA" w:rsidRPr="005914EA" w:rsidRDefault="000B0FDA" w:rsidP="0098760C">
            <w:pPr>
              <w:rPr>
                <w:color w:val="4472C4" w:themeColor="accent1"/>
              </w:rPr>
            </w:pPr>
          </w:p>
        </w:tc>
        <w:tc>
          <w:tcPr>
            <w:tcW w:w="9449" w:type="dxa"/>
            <w:tcBorders>
              <w:top w:val="single" w:sz="6" w:space="0" w:color="DDDDDD"/>
            </w:tcBorders>
            <w:shd w:val="clear" w:color="auto" w:fill="FFFFFF" w:themeFill="background1"/>
            <w:tcMar>
              <w:top w:w="120" w:type="dxa"/>
              <w:left w:w="120" w:type="dxa"/>
              <w:bottom w:w="120" w:type="dxa"/>
              <w:right w:w="120" w:type="dxa"/>
            </w:tcMar>
          </w:tcPr>
          <w:p w14:paraId="69CF075E" w14:textId="77777777" w:rsidR="000B0FDA" w:rsidRPr="005914EA" w:rsidRDefault="000B0FDA" w:rsidP="0098760C">
            <w:pPr>
              <w:rPr>
                <w:rFonts w:ascii="Calibri" w:eastAsia="Calibri" w:hAnsi="Calibri" w:cs="Calibri"/>
                <w:color w:val="000000" w:themeColor="text1"/>
                <w:sz w:val="24"/>
                <w:szCs w:val="24"/>
              </w:rPr>
            </w:pPr>
            <w:r w:rsidRPr="1A25EA49">
              <w:rPr>
                <w:rFonts w:ascii="Calibri" w:eastAsia="Calibri" w:hAnsi="Calibri" w:cs="Calibri"/>
                <w:color w:val="000000" w:themeColor="text1"/>
                <w:sz w:val="24"/>
                <w:szCs w:val="24"/>
              </w:rPr>
              <w:t xml:space="preserve">Open-enrollment education and training opportunities offered by colleges, universities, or other education providers that are not for degree/program credit that enhances knowledge and/or teaches new skills. </w:t>
            </w:r>
          </w:p>
        </w:tc>
      </w:tr>
      <w:tr w:rsidR="000B0FDA" w:rsidRPr="00F12571" w14:paraId="7F3CB72F" w14:textId="77777777" w:rsidTr="71D66562">
        <w:tc>
          <w:tcPr>
            <w:tcW w:w="3526" w:type="dxa"/>
            <w:tcBorders>
              <w:top w:val="single" w:sz="6" w:space="0" w:color="DDDDDD"/>
            </w:tcBorders>
            <w:shd w:val="clear" w:color="auto" w:fill="FFFFFF" w:themeFill="background1"/>
            <w:tcMar>
              <w:top w:w="120" w:type="dxa"/>
              <w:left w:w="120" w:type="dxa"/>
              <w:bottom w:w="120" w:type="dxa"/>
              <w:right w:w="120" w:type="dxa"/>
            </w:tcMar>
          </w:tcPr>
          <w:p w14:paraId="1C6B9CB3" w14:textId="77777777" w:rsidR="000B0FDA" w:rsidRPr="00F12571" w:rsidRDefault="000B0FDA" w:rsidP="0098760C">
            <w:pPr>
              <w:rPr>
                <w:color w:val="4472C4" w:themeColor="accent1"/>
              </w:rPr>
            </w:pPr>
            <w:r w:rsidRPr="1A25EA49">
              <w:lastRenderedPageBreak/>
              <w:t>Customized training </w:t>
            </w:r>
          </w:p>
        </w:tc>
        <w:tc>
          <w:tcPr>
            <w:tcW w:w="9449" w:type="dxa"/>
            <w:tcBorders>
              <w:top w:val="single" w:sz="6" w:space="0" w:color="DDDDDD"/>
            </w:tcBorders>
            <w:shd w:val="clear" w:color="auto" w:fill="FFFFFF" w:themeFill="background1"/>
            <w:tcMar>
              <w:top w:w="120" w:type="dxa"/>
              <w:left w:w="120" w:type="dxa"/>
              <w:bottom w:w="120" w:type="dxa"/>
              <w:right w:w="120" w:type="dxa"/>
            </w:tcMar>
          </w:tcPr>
          <w:p w14:paraId="67674130" w14:textId="77777777" w:rsidR="000B0FDA" w:rsidRPr="00F12571" w:rsidRDefault="000B0FDA" w:rsidP="0098760C">
            <w:pPr>
              <w:rPr>
                <w:rFonts w:ascii="Calibri" w:eastAsia="Calibri" w:hAnsi="Calibri" w:cs="Calibri"/>
                <w:color w:val="000000" w:themeColor="text1"/>
                <w:sz w:val="24"/>
                <w:szCs w:val="24"/>
              </w:rPr>
            </w:pPr>
            <w:r w:rsidRPr="0D1AC6DF">
              <w:rPr>
                <w:rFonts w:ascii="Calibri" w:eastAsia="Calibri" w:hAnsi="Calibri" w:cs="Calibri"/>
                <w:color w:val="000000" w:themeColor="text1"/>
                <w:sz w:val="24"/>
                <w:szCs w:val="24"/>
              </w:rPr>
              <w:t>Specially designed noncredit curriculum and instruction tailored to meet the specific needs, goals, and interests of an employer/third party organization offered in a closed-enrollment, contracted service between an employer/third party and college or university.</w:t>
            </w:r>
          </w:p>
        </w:tc>
      </w:tr>
      <w:tr w:rsidR="000B0FDA" w14:paraId="24C64103" w14:textId="77777777" w:rsidTr="71D66562">
        <w:tc>
          <w:tcPr>
            <w:tcW w:w="3526" w:type="dxa"/>
            <w:tcBorders>
              <w:top w:val="single" w:sz="6" w:space="0" w:color="DDDDDD"/>
            </w:tcBorders>
            <w:shd w:val="clear" w:color="auto" w:fill="FFFFFF" w:themeFill="background1"/>
            <w:tcMar>
              <w:top w:w="120" w:type="dxa"/>
              <w:left w:w="120" w:type="dxa"/>
              <w:bottom w:w="120" w:type="dxa"/>
              <w:right w:w="120" w:type="dxa"/>
            </w:tcMar>
          </w:tcPr>
          <w:p w14:paraId="68FBEB26" w14:textId="77777777" w:rsidR="000B0FDA" w:rsidRDefault="000B0FDA" w:rsidP="2DED3197">
            <w:r w:rsidRPr="2DED3197">
              <w:t>CPL Xchange</w:t>
            </w:r>
          </w:p>
          <w:p w14:paraId="2378EDA5" w14:textId="77777777" w:rsidR="000B0FDA" w:rsidRDefault="000B0FDA" w:rsidP="0098760C">
            <w:pPr>
              <w:rPr>
                <w:color w:val="00B050"/>
              </w:rPr>
            </w:pPr>
          </w:p>
        </w:tc>
        <w:tc>
          <w:tcPr>
            <w:tcW w:w="9449" w:type="dxa"/>
            <w:tcBorders>
              <w:top w:val="single" w:sz="6" w:space="0" w:color="DDDDDD"/>
            </w:tcBorders>
            <w:shd w:val="clear" w:color="auto" w:fill="FFFFFF" w:themeFill="background1"/>
            <w:tcMar>
              <w:top w:w="120" w:type="dxa"/>
              <w:left w:w="120" w:type="dxa"/>
              <w:bottom w:w="120" w:type="dxa"/>
              <w:right w:w="120" w:type="dxa"/>
            </w:tcMar>
          </w:tcPr>
          <w:p w14:paraId="7A1C250C" w14:textId="1411311C" w:rsidR="000B0FDA" w:rsidRDefault="000B0FDA" w:rsidP="0098760C">
            <w:pPr>
              <w:rPr>
                <w:rFonts w:ascii="Calibri" w:eastAsia="Calibri" w:hAnsi="Calibri" w:cs="Calibri"/>
                <w:color w:val="000000" w:themeColor="text1"/>
                <w:sz w:val="24"/>
                <w:szCs w:val="24"/>
              </w:rPr>
            </w:pPr>
            <w:r w:rsidRPr="71D66562">
              <w:rPr>
                <w:rFonts w:ascii="Calibri" w:eastAsia="Calibri" w:hAnsi="Calibri" w:cs="Calibri"/>
                <w:color w:val="000000" w:themeColor="text1"/>
                <w:sz w:val="24"/>
                <w:szCs w:val="24"/>
              </w:rPr>
              <w:t xml:space="preserve">A cooperative arrangement of shared CPL assessors (and resources) that offers qualified students the opportunity to register for assessment of prior learning when their home college or university does not have the subject matter expertise or assessment methods. Students do not go through the admission process at the other institution. Credits earned via the CPL Xchange are resident credits of the student's home college or university.   </w:t>
            </w:r>
          </w:p>
        </w:tc>
      </w:tr>
      <w:tr w:rsidR="77F4B539" w14:paraId="4D711774" w14:textId="77777777" w:rsidTr="71D66562">
        <w:trPr>
          <w:trHeight w:val="300"/>
        </w:trPr>
        <w:tc>
          <w:tcPr>
            <w:tcW w:w="3526" w:type="dxa"/>
            <w:tcBorders>
              <w:top w:val="single" w:sz="6" w:space="0" w:color="DDDDDD"/>
            </w:tcBorders>
            <w:shd w:val="clear" w:color="auto" w:fill="FFFFFF" w:themeFill="background1"/>
            <w:tcMar>
              <w:top w:w="120" w:type="dxa"/>
              <w:left w:w="120" w:type="dxa"/>
              <w:bottom w:w="120" w:type="dxa"/>
              <w:right w:w="120" w:type="dxa"/>
            </w:tcMar>
          </w:tcPr>
          <w:p w14:paraId="6C64B714" w14:textId="5E05EE6C" w:rsidR="77F4B539" w:rsidRDefault="77F4B539">
            <w:r>
              <w:t>Documentation/ Evidence</w:t>
            </w:r>
          </w:p>
        </w:tc>
        <w:tc>
          <w:tcPr>
            <w:tcW w:w="9449" w:type="dxa"/>
            <w:tcBorders>
              <w:top w:val="single" w:sz="6" w:space="0" w:color="DDDDDD"/>
            </w:tcBorders>
            <w:shd w:val="clear" w:color="auto" w:fill="FFFFFF" w:themeFill="background1"/>
            <w:tcMar>
              <w:top w:w="120" w:type="dxa"/>
              <w:left w:w="120" w:type="dxa"/>
              <w:bottom w:w="120" w:type="dxa"/>
              <w:right w:w="120" w:type="dxa"/>
            </w:tcMar>
          </w:tcPr>
          <w:p w14:paraId="187043C8" w14:textId="09398667" w:rsidR="77F4B539" w:rsidRDefault="77F4B539">
            <w:r>
              <w:t>Evidence that supports a claim for prior learning experience, e.g., transcripts, licenses, certificates, job descriptions, articles written, created products, letters, evaluations, etc.</w:t>
            </w:r>
          </w:p>
        </w:tc>
      </w:tr>
      <w:tr w:rsidR="77F4B539" w14:paraId="24DCED86" w14:textId="77777777" w:rsidTr="71D66562">
        <w:trPr>
          <w:trHeight w:val="300"/>
        </w:trPr>
        <w:tc>
          <w:tcPr>
            <w:tcW w:w="3526" w:type="dxa"/>
            <w:tcBorders>
              <w:top w:val="single" w:sz="6" w:space="0" w:color="DDDDDD"/>
            </w:tcBorders>
            <w:shd w:val="clear" w:color="auto" w:fill="FFFFFF" w:themeFill="background1"/>
            <w:tcMar>
              <w:top w:w="120" w:type="dxa"/>
              <w:left w:w="120" w:type="dxa"/>
              <w:bottom w:w="120" w:type="dxa"/>
              <w:right w:w="120" w:type="dxa"/>
            </w:tcMar>
          </w:tcPr>
          <w:p w14:paraId="726C838F" w14:textId="77777777" w:rsidR="77F4B539" w:rsidRDefault="77F4B539">
            <w:r>
              <w:t>DSST (formerly DANTES)</w:t>
            </w:r>
          </w:p>
        </w:tc>
        <w:tc>
          <w:tcPr>
            <w:tcW w:w="9449" w:type="dxa"/>
            <w:tcBorders>
              <w:top w:val="single" w:sz="6" w:space="0" w:color="DDDDDD"/>
            </w:tcBorders>
            <w:shd w:val="clear" w:color="auto" w:fill="FFFFFF" w:themeFill="background1"/>
            <w:tcMar>
              <w:top w:w="120" w:type="dxa"/>
              <w:left w:w="120" w:type="dxa"/>
              <w:bottom w:w="120" w:type="dxa"/>
              <w:right w:w="120" w:type="dxa"/>
            </w:tcMar>
          </w:tcPr>
          <w:p w14:paraId="05924EC3" w14:textId="77777777" w:rsidR="77F4B539" w:rsidRDefault="77F4B539">
            <w:r>
              <w:t>A nationally recognized, standardized series of tests in college subjects.</w:t>
            </w:r>
          </w:p>
        </w:tc>
      </w:tr>
      <w:tr w:rsidR="000B0FDA" w:rsidRPr="00256811" w14:paraId="07E8258D" w14:textId="77777777" w:rsidTr="71D66562">
        <w:tc>
          <w:tcPr>
            <w:tcW w:w="3526" w:type="dxa"/>
            <w:tcBorders>
              <w:top w:val="single" w:sz="6" w:space="0" w:color="DDDDDD"/>
            </w:tcBorders>
            <w:shd w:val="clear" w:color="auto" w:fill="FFFFFF" w:themeFill="background1"/>
            <w:tcMar>
              <w:top w:w="120" w:type="dxa"/>
              <w:left w:w="120" w:type="dxa"/>
              <w:bottom w:w="120" w:type="dxa"/>
              <w:right w:w="120" w:type="dxa"/>
            </w:tcMar>
          </w:tcPr>
          <w:p w14:paraId="4B978D2A" w14:textId="77777777" w:rsidR="000B0FDA" w:rsidRDefault="000B0FDA" w:rsidP="0098760C">
            <w:r w:rsidRPr="1A25EA49">
              <w:t xml:space="preserve">External Assessment </w:t>
            </w:r>
          </w:p>
          <w:p w14:paraId="100F5A94" w14:textId="77777777" w:rsidR="000B0FDA" w:rsidRDefault="000B0FDA" w:rsidP="0098760C"/>
          <w:p w14:paraId="3D1772A4" w14:textId="77777777" w:rsidR="000B0FDA" w:rsidRPr="00256811" w:rsidRDefault="000B0FDA" w:rsidP="0098760C"/>
        </w:tc>
        <w:tc>
          <w:tcPr>
            <w:tcW w:w="9449" w:type="dxa"/>
            <w:tcBorders>
              <w:top w:val="single" w:sz="6" w:space="0" w:color="DDDDDD"/>
            </w:tcBorders>
            <w:shd w:val="clear" w:color="auto" w:fill="FFFFFF" w:themeFill="background1"/>
            <w:tcMar>
              <w:top w:w="120" w:type="dxa"/>
              <w:left w:w="120" w:type="dxa"/>
              <w:bottom w:w="120" w:type="dxa"/>
              <w:right w:w="120" w:type="dxa"/>
            </w:tcMar>
          </w:tcPr>
          <w:p w14:paraId="4795E08F" w14:textId="77777777" w:rsidR="000B0FDA" w:rsidRDefault="000B0FDA" w:rsidP="0098760C">
            <w:pPr>
              <w:rPr>
                <w:rFonts w:ascii="Calibri" w:eastAsia="Calibri" w:hAnsi="Calibri" w:cs="Calibri"/>
                <w:color w:val="000000" w:themeColor="text1"/>
                <w:sz w:val="24"/>
                <w:szCs w:val="24"/>
              </w:rPr>
            </w:pPr>
            <w:r w:rsidRPr="1A25EA49">
              <w:rPr>
                <w:rFonts w:ascii="Calibri" w:eastAsia="Calibri" w:hAnsi="Calibri" w:cs="Calibri"/>
                <w:sz w:val="24"/>
                <w:szCs w:val="24"/>
              </w:rPr>
              <w:t>Assessment methods and processes at the colleges and or universities of Minnesota State that could result in credit for prior learning achieved and assessed through a nationally recognized third-party assessment agency or organization, regionally or nationally accredited postsecondary institution, or noncredit instruction. Students demonstrate a level of proficiency that is recognized through curriculum, instruction, program, or a standardized exam. CPL external assessment types may include, but are not limited to, AP, IB, CLEP, and other national standardized assessments, world languages seals and certificates, industry recognized credentials, licenses, and certifications, and noncredit instruction in programs such as registered apprenticeships, work-based training, continuing education, and customized training.</w:t>
            </w:r>
          </w:p>
          <w:p w14:paraId="5BD4A5C4" w14:textId="77777777" w:rsidR="000B0FDA" w:rsidRPr="00256811" w:rsidRDefault="000B0FDA" w:rsidP="0098760C"/>
        </w:tc>
      </w:tr>
      <w:tr w:rsidR="000B0FDA" w:rsidRPr="00256811" w14:paraId="43BCD9B9" w14:textId="77777777" w:rsidTr="71D66562">
        <w:tc>
          <w:tcPr>
            <w:tcW w:w="3526" w:type="dxa"/>
            <w:tcBorders>
              <w:top w:val="single" w:sz="6" w:space="0" w:color="DDDDDD"/>
            </w:tcBorders>
            <w:shd w:val="clear" w:color="auto" w:fill="FFFFFF" w:themeFill="background1"/>
            <w:tcMar>
              <w:top w:w="120" w:type="dxa"/>
              <w:left w:w="120" w:type="dxa"/>
              <w:bottom w:w="120" w:type="dxa"/>
              <w:right w:w="120" w:type="dxa"/>
            </w:tcMar>
            <w:hideMark/>
          </w:tcPr>
          <w:p w14:paraId="6FF5416D" w14:textId="77777777" w:rsidR="000B0FDA" w:rsidRPr="00256811" w:rsidRDefault="000B0FDA" w:rsidP="0098760C">
            <w:r w:rsidRPr="1A25EA49">
              <w:t>Excelsior College Examination Program : UExcel</w:t>
            </w:r>
          </w:p>
        </w:tc>
        <w:tc>
          <w:tcPr>
            <w:tcW w:w="9449" w:type="dxa"/>
            <w:tcBorders>
              <w:top w:val="single" w:sz="6" w:space="0" w:color="DDDDDD"/>
            </w:tcBorders>
            <w:shd w:val="clear" w:color="auto" w:fill="FFFFFF" w:themeFill="background1"/>
            <w:tcMar>
              <w:top w:w="120" w:type="dxa"/>
              <w:left w:w="120" w:type="dxa"/>
              <w:bottom w:w="120" w:type="dxa"/>
              <w:right w:w="120" w:type="dxa"/>
            </w:tcMar>
            <w:hideMark/>
          </w:tcPr>
          <w:p w14:paraId="2EDBDD12" w14:textId="77777777" w:rsidR="000B0FDA" w:rsidRPr="00256811" w:rsidRDefault="000B0FDA" w:rsidP="0098760C">
            <w:r w:rsidRPr="1A25EA49">
              <w:t>A series of tests offered by Excelsior College, NY for which students may earn college credit.</w:t>
            </w:r>
          </w:p>
        </w:tc>
      </w:tr>
      <w:tr w:rsidR="000B0FDA" w:rsidRPr="00256811" w14:paraId="59CE5A41" w14:textId="77777777" w:rsidTr="71D66562">
        <w:tc>
          <w:tcPr>
            <w:tcW w:w="3526" w:type="dxa"/>
            <w:tcBorders>
              <w:top w:val="single" w:sz="6" w:space="0" w:color="DDDDDD"/>
            </w:tcBorders>
            <w:shd w:val="clear" w:color="auto" w:fill="FFFFFF" w:themeFill="background1"/>
            <w:tcMar>
              <w:top w:w="120" w:type="dxa"/>
              <w:left w:w="120" w:type="dxa"/>
              <w:bottom w:w="120" w:type="dxa"/>
              <w:right w:w="120" w:type="dxa"/>
            </w:tcMar>
            <w:hideMark/>
          </w:tcPr>
          <w:p w14:paraId="3EF97469" w14:textId="77777777" w:rsidR="000B0FDA" w:rsidRPr="00256811" w:rsidRDefault="000B0FDA" w:rsidP="0098760C">
            <w:r w:rsidRPr="1A25EA49">
              <w:lastRenderedPageBreak/>
              <w:t>Experiential Learning</w:t>
            </w:r>
          </w:p>
        </w:tc>
        <w:tc>
          <w:tcPr>
            <w:tcW w:w="9449" w:type="dxa"/>
            <w:tcBorders>
              <w:top w:val="single" w:sz="6" w:space="0" w:color="DDDDDD"/>
            </w:tcBorders>
            <w:shd w:val="clear" w:color="auto" w:fill="FFFFFF" w:themeFill="background1"/>
            <w:tcMar>
              <w:top w:w="120" w:type="dxa"/>
              <w:left w:w="120" w:type="dxa"/>
              <w:bottom w:w="120" w:type="dxa"/>
              <w:right w:w="120" w:type="dxa"/>
            </w:tcMar>
            <w:hideMark/>
          </w:tcPr>
          <w:p w14:paraId="02F3B0B2" w14:textId="77777777" w:rsidR="000B0FDA" w:rsidRPr="00256811" w:rsidRDefault="000B0FDA" w:rsidP="0098760C">
            <w:r w:rsidRPr="1A25EA49">
              <w:t>Skills, knowledge, and values that are learned through work and life experience rather than through formal education (which could include civic engagement, internship, service learning, co-op, etc.)</w:t>
            </w:r>
          </w:p>
        </w:tc>
      </w:tr>
      <w:tr w:rsidR="77F4B539" w14:paraId="5D1EF0D7" w14:textId="77777777" w:rsidTr="71D66562">
        <w:trPr>
          <w:trHeight w:val="300"/>
        </w:trPr>
        <w:tc>
          <w:tcPr>
            <w:tcW w:w="3526" w:type="dxa"/>
            <w:tcBorders>
              <w:top w:val="single" w:sz="6" w:space="0" w:color="DDDDDD"/>
            </w:tcBorders>
            <w:shd w:val="clear" w:color="auto" w:fill="FFFFFF" w:themeFill="background1"/>
            <w:tcMar>
              <w:top w:w="120" w:type="dxa"/>
              <w:left w:w="120" w:type="dxa"/>
              <w:bottom w:w="120" w:type="dxa"/>
              <w:right w:w="120" w:type="dxa"/>
            </w:tcMar>
          </w:tcPr>
          <w:p w14:paraId="19D902BC" w14:textId="2EEC0C7C" w:rsidR="77F4B539" w:rsidRDefault="77F4B539">
            <w:r>
              <w:t>Home Campus</w:t>
            </w:r>
          </w:p>
        </w:tc>
        <w:tc>
          <w:tcPr>
            <w:tcW w:w="9449" w:type="dxa"/>
            <w:tcBorders>
              <w:top w:val="single" w:sz="6" w:space="0" w:color="DDDDDD"/>
            </w:tcBorders>
            <w:shd w:val="clear" w:color="auto" w:fill="FFFFFF" w:themeFill="background1"/>
            <w:tcMar>
              <w:top w:w="120" w:type="dxa"/>
              <w:left w:w="120" w:type="dxa"/>
              <w:bottom w:w="120" w:type="dxa"/>
              <w:right w:w="120" w:type="dxa"/>
            </w:tcMar>
          </w:tcPr>
          <w:p w14:paraId="5E9688A8" w14:textId="53E71364" w:rsidR="77F4B539" w:rsidRDefault="77F4B539">
            <w:r>
              <w:t>The college or university in which a student has chosen to complete a degree or program of study.</w:t>
            </w:r>
          </w:p>
        </w:tc>
      </w:tr>
      <w:tr w:rsidR="000B0FDA" w:rsidRPr="00256811" w14:paraId="134FD643" w14:textId="77777777" w:rsidTr="71D66562">
        <w:tc>
          <w:tcPr>
            <w:tcW w:w="3526" w:type="dxa"/>
            <w:tcBorders>
              <w:top w:val="single" w:sz="6" w:space="0" w:color="DDDDDD"/>
            </w:tcBorders>
            <w:shd w:val="clear" w:color="auto" w:fill="FFFFFF" w:themeFill="background1"/>
            <w:tcMar>
              <w:top w:w="120" w:type="dxa"/>
              <w:left w:w="120" w:type="dxa"/>
              <w:bottom w:w="120" w:type="dxa"/>
              <w:right w:w="120" w:type="dxa"/>
            </w:tcMar>
          </w:tcPr>
          <w:p w14:paraId="3CC2B2F4" w14:textId="77777777" w:rsidR="000B0FDA" w:rsidRPr="00256811" w:rsidRDefault="000B0FDA" w:rsidP="0098760C">
            <w:r w:rsidRPr="1A25EA49">
              <w:t>Internal Assessment</w:t>
            </w:r>
          </w:p>
        </w:tc>
        <w:tc>
          <w:tcPr>
            <w:tcW w:w="9449" w:type="dxa"/>
            <w:tcBorders>
              <w:top w:val="single" w:sz="6" w:space="0" w:color="DDDDDD"/>
            </w:tcBorders>
            <w:shd w:val="clear" w:color="auto" w:fill="FFFFFF" w:themeFill="background1"/>
            <w:tcMar>
              <w:top w:w="120" w:type="dxa"/>
              <w:left w:w="120" w:type="dxa"/>
              <w:bottom w:w="120" w:type="dxa"/>
              <w:right w:w="120" w:type="dxa"/>
            </w:tcMar>
          </w:tcPr>
          <w:p w14:paraId="14581CA6" w14:textId="77777777" w:rsidR="000B0FDA" w:rsidRPr="00256811" w:rsidRDefault="000B0FDA" w:rsidP="0098760C">
            <w:pPr>
              <w:rPr>
                <w:rFonts w:ascii="Calibri" w:eastAsia="Calibri" w:hAnsi="Calibri" w:cs="Calibri"/>
                <w:color w:val="000000" w:themeColor="text1"/>
                <w:sz w:val="24"/>
                <w:szCs w:val="24"/>
              </w:rPr>
            </w:pPr>
            <w:r w:rsidRPr="1A25EA49">
              <w:rPr>
                <w:rFonts w:ascii="Calibri" w:eastAsia="Calibri" w:hAnsi="Calibri" w:cs="Calibri"/>
                <w:sz w:val="24"/>
                <w:szCs w:val="24"/>
              </w:rPr>
              <w:t>College and university assessment methods and processes used by Minnesota State faculty members to assess students’ demonstrated learning and/or competence. CPL internal assessment types may include, but are not limited to, credit by exam, portfolio assessment, interview, skills demonstration, individualized subject-area assessment, group or seminar assessment, and competency-based assessment.</w:t>
            </w:r>
          </w:p>
        </w:tc>
      </w:tr>
      <w:tr w:rsidR="000B0FDA" w:rsidRPr="009C1859" w14:paraId="56D4E1F2" w14:textId="77777777" w:rsidTr="71D66562">
        <w:tc>
          <w:tcPr>
            <w:tcW w:w="3526" w:type="dxa"/>
            <w:tcBorders>
              <w:top w:val="single" w:sz="6" w:space="0" w:color="DDDDDD"/>
            </w:tcBorders>
            <w:shd w:val="clear" w:color="auto" w:fill="FFFFFF" w:themeFill="background1"/>
            <w:tcMar>
              <w:top w:w="120" w:type="dxa"/>
              <w:left w:w="120" w:type="dxa"/>
              <w:bottom w:w="120" w:type="dxa"/>
              <w:right w:w="120" w:type="dxa"/>
            </w:tcMar>
            <w:hideMark/>
          </w:tcPr>
          <w:p w14:paraId="10165EC2" w14:textId="77777777" w:rsidR="000B0FDA" w:rsidRPr="00256811" w:rsidRDefault="000B0FDA" w:rsidP="0098760C">
            <w:r w:rsidRPr="1A25EA49">
              <w:t>International Baccalaureate Programs (IB)</w:t>
            </w:r>
          </w:p>
        </w:tc>
        <w:tc>
          <w:tcPr>
            <w:tcW w:w="9449" w:type="dxa"/>
            <w:tcBorders>
              <w:top w:val="single" w:sz="6" w:space="0" w:color="DDDDDD"/>
            </w:tcBorders>
            <w:shd w:val="clear" w:color="auto" w:fill="FFFFFF" w:themeFill="background1"/>
            <w:tcMar>
              <w:top w:w="120" w:type="dxa"/>
              <w:left w:w="120" w:type="dxa"/>
              <w:bottom w:w="120" w:type="dxa"/>
              <w:right w:w="120" w:type="dxa"/>
            </w:tcMar>
            <w:hideMark/>
          </w:tcPr>
          <w:p w14:paraId="453DFC10" w14:textId="19D9A848" w:rsidR="000B0FDA" w:rsidRDefault="000B0FDA" w:rsidP="0098760C">
            <w:pPr>
              <w:rPr>
                <w:rFonts w:ascii="Calibri" w:eastAsia="Calibri" w:hAnsi="Calibri" w:cs="Calibri"/>
              </w:rPr>
            </w:pPr>
            <w:r w:rsidRPr="1A25EA49">
              <w:rPr>
                <w:rFonts w:ascii="Calibri" w:eastAsia="Calibri" w:hAnsi="Calibri" w:cs="Calibri"/>
                <w:sz w:val="24"/>
                <w:szCs w:val="24"/>
              </w:rPr>
              <w:t xml:space="preserve">The International Baccalaureate Foundation offers the internationally recognized IB program through which a secondary student completes a comprehensive curriculum of rigorous study and demonstrates performance on IB examinations. A student may present a full IB diploma or a certificate recognizing specific </w:t>
            </w:r>
            <w:r w:rsidR="00BB63D5">
              <w:rPr>
                <w:rFonts w:ascii="Calibri" w:eastAsia="Calibri" w:hAnsi="Calibri" w:cs="Calibri"/>
                <w:sz w:val="24"/>
                <w:szCs w:val="24"/>
              </w:rPr>
              <w:t>higher-level</w:t>
            </w:r>
            <w:r w:rsidRPr="1A25EA49">
              <w:rPr>
                <w:rFonts w:ascii="Calibri" w:eastAsia="Calibri" w:hAnsi="Calibri" w:cs="Calibri"/>
                <w:sz w:val="24"/>
                <w:szCs w:val="24"/>
              </w:rPr>
              <w:t xml:space="preserve"> or </w:t>
            </w:r>
            <w:r w:rsidR="00BB63D5">
              <w:rPr>
                <w:rFonts w:ascii="Calibri" w:eastAsia="Calibri" w:hAnsi="Calibri" w:cs="Calibri"/>
                <w:sz w:val="24"/>
                <w:szCs w:val="24"/>
              </w:rPr>
              <w:t>standard-level</w:t>
            </w:r>
            <w:r w:rsidRPr="1A25EA49">
              <w:rPr>
                <w:rFonts w:ascii="Calibri" w:eastAsia="Calibri" w:hAnsi="Calibri" w:cs="Calibri"/>
                <w:sz w:val="24"/>
                <w:szCs w:val="24"/>
              </w:rPr>
              <w:t xml:space="preserve"> examination scores.</w:t>
            </w:r>
          </w:p>
          <w:p w14:paraId="75FBC581" w14:textId="77777777" w:rsidR="000B0FDA" w:rsidRPr="009C1859" w:rsidRDefault="000B0FDA" w:rsidP="0098760C">
            <w:pPr>
              <w:rPr>
                <w:highlight w:val="yellow"/>
              </w:rPr>
            </w:pPr>
          </w:p>
        </w:tc>
      </w:tr>
      <w:tr w:rsidR="000B0FDA" w14:paraId="12B0C6C8" w14:textId="77777777" w:rsidTr="71D66562">
        <w:tc>
          <w:tcPr>
            <w:tcW w:w="3526" w:type="dxa"/>
            <w:tcBorders>
              <w:top w:val="single" w:sz="6" w:space="0" w:color="DDDDDD"/>
            </w:tcBorders>
            <w:shd w:val="clear" w:color="auto" w:fill="FFFFFF" w:themeFill="background1"/>
            <w:tcMar>
              <w:top w:w="120" w:type="dxa"/>
              <w:left w:w="120" w:type="dxa"/>
              <w:bottom w:w="120" w:type="dxa"/>
              <w:right w:w="120" w:type="dxa"/>
            </w:tcMar>
            <w:hideMark/>
          </w:tcPr>
          <w:p w14:paraId="3FECD2F6" w14:textId="77777777" w:rsidR="000B0FDA" w:rsidRDefault="000B0FDA" w:rsidP="0098760C">
            <w:r w:rsidRPr="1A25EA49">
              <w:t>Industry-recognized credentials, licenses, and certifications</w:t>
            </w:r>
          </w:p>
        </w:tc>
        <w:tc>
          <w:tcPr>
            <w:tcW w:w="9449" w:type="dxa"/>
            <w:tcBorders>
              <w:top w:val="single" w:sz="6" w:space="0" w:color="DDDDDD"/>
            </w:tcBorders>
            <w:shd w:val="clear" w:color="auto" w:fill="FFFFFF" w:themeFill="background1"/>
            <w:tcMar>
              <w:top w:w="120" w:type="dxa"/>
              <w:left w:w="120" w:type="dxa"/>
              <w:bottom w:w="120" w:type="dxa"/>
              <w:right w:w="120" w:type="dxa"/>
            </w:tcMar>
            <w:hideMark/>
          </w:tcPr>
          <w:p w14:paraId="7B65FD3B" w14:textId="5D8F22C1" w:rsidR="000B0FDA" w:rsidRDefault="00BB63D5" w:rsidP="0098760C">
            <w:pPr>
              <w:rPr>
                <w:rFonts w:ascii="Calibri" w:eastAsia="Calibri" w:hAnsi="Calibri" w:cs="Calibri"/>
              </w:rPr>
            </w:pPr>
            <w:r>
              <w:rPr>
                <w:rFonts w:ascii="Calibri" w:eastAsia="Calibri" w:hAnsi="Calibri" w:cs="Calibri"/>
                <w:sz w:val="24"/>
                <w:szCs w:val="24"/>
              </w:rPr>
              <w:t>Industry-developed</w:t>
            </w:r>
            <w:r w:rsidR="000B0FDA" w:rsidRPr="1A25EA49">
              <w:rPr>
                <w:rFonts w:ascii="Calibri" w:eastAsia="Calibri" w:hAnsi="Calibri" w:cs="Calibri"/>
                <w:sz w:val="24"/>
                <w:szCs w:val="24"/>
              </w:rPr>
              <w:t xml:space="preserve"> and endorsed assessments that demonstrate a level of mastery of competencies</w:t>
            </w:r>
          </w:p>
        </w:tc>
      </w:tr>
      <w:tr w:rsidR="00DB7AC5" w:rsidRPr="00DB7AC5" w14:paraId="0F26FEEE" w14:textId="77777777" w:rsidTr="71D66562">
        <w:tc>
          <w:tcPr>
            <w:tcW w:w="3526" w:type="dxa"/>
            <w:tcBorders>
              <w:top w:val="single" w:sz="6" w:space="0" w:color="DDDDDD"/>
            </w:tcBorders>
            <w:shd w:val="clear" w:color="auto" w:fill="FFFFFF" w:themeFill="background1"/>
            <w:tcMar>
              <w:top w:w="120" w:type="dxa"/>
              <w:left w:w="120" w:type="dxa"/>
              <w:bottom w:w="120" w:type="dxa"/>
              <w:right w:w="120" w:type="dxa"/>
            </w:tcMar>
            <w:hideMark/>
          </w:tcPr>
          <w:p w14:paraId="146D3239" w14:textId="77777777" w:rsidR="00DB7AC5" w:rsidRPr="00DB7AC5" w:rsidRDefault="00DB7AC5" w:rsidP="00DB7AC5">
            <w:r w:rsidRPr="00DB7AC5">
              <w:t>Joint Services Transcript (JST)</w:t>
            </w:r>
          </w:p>
        </w:tc>
        <w:tc>
          <w:tcPr>
            <w:tcW w:w="9449" w:type="dxa"/>
            <w:tcBorders>
              <w:top w:val="single" w:sz="6" w:space="0" w:color="DDDDDD"/>
            </w:tcBorders>
            <w:shd w:val="clear" w:color="auto" w:fill="FFFFFF" w:themeFill="background1"/>
            <w:tcMar>
              <w:top w:w="120" w:type="dxa"/>
              <w:left w:w="120" w:type="dxa"/>
              <w:bottom w:w="120" w:type="dxa"/>
              <w:right w:w="120" w:type="dxa"/>
            </w:tcMar>
            <w:hideMark/>
          </w:tcPr>
          <w:p w14:paraId="3C2C6B8E" w14:textId="77777777" w:rsidR="00DB7AC5" w:rsidRPr="00DB7AC5" w:rsidRDefault="00DB7AC5" w:rsidP="00DB7AC5">
            <w:r w:rsidRPr="00DB7AC5">
              <w:t>JST is the Joint Services Transcript that has replaced the Coast Guard Institute Transcript, the Army/American Council on Education Registry Transcript System (AARTS), and the Sailor/Marine American Council on Education Registry Transcript (SMART). JST is an academically accepted document approved by the American Council on Education (ACE) to validate a service member’s military occupational experience and training along with the corresponding ACE college credit recommendations.</w:t>
            </w:r>
          </w:p>
        </w:tc>
      </w:tr>
      <w:tr w:rsidR="77F4B539" w14:paraId="35F5FA20" w14:textId="77777777" w:rsidTr="71D66562">
        <w:trPr>
          <w:trHeight w:val="300"/>
        </w:trPr>
        <w:tc>
          <w:tcPr>
            <w:tcW w:w="3526" w:type="dxa"/>
            <w:tcBorders>
              <w:top w:val="single" w:sz="6" w:space="0" w:color="DDDDDD"/>
            </w:tcBorders>
            <w:shd w:val="clear" w:color="auto" w:fill="FFFFFF" w:themeFill="background1"/>
            <w:tcMar>
              <w:top w:w="120" w:type="dxa"/>
              <w:left w:w="120" w:type="dxa"/>
              <w:bottom w:w="120" w:type="dxa"/>
              <w:right w:w="120" w:type="dxa"/>
            </w:tcMar>
          </w:tcPr>
          <w:p w14:paraId="13854A7A" w14:textId="77777777" w:rsidR="77F4B539" w:rsidRDefault="77F4B539">
            <w:r>
              <w:t>Learning Outcomes</w:t>
            </w:r>
          </w:p>
        </w:tc>
        <w:tc>
          <w:tcPr>
            <w:tcW w:w="9449" w:type="dxa"/>
            <w:tcBorders>
              <w:top w:val="single" w:sz="6" w:space="0" w:color="DDDDDD"/>
            </w:tcBorders>
            <w:shd w:val="clear" w:color="auto" w:fill="FFFFFF" w:themeFill="background1"/>
            <w:tcMar>
              <w:top w:w="120" w:type="dxa"/>
              <w:left w:w="120" w:type="dxa"/>
              <w:bottom w:w="120" w:type="dxa"/>
              <w:right w:w="120" w:type="dxa"/>
            </w:tcMar>
          </w:tcPr>
          <w:p w14:paraId="65779330" w14:textId="1A21C76A" w:rsidR="77F4B539" w:rsidRDefault="77F4B539">
            <w:r>
              <w:t>The measurable knowledge, skills, and capacity for judgment that a person achieves through a course of study, also described as what a person knows and can do</w:t>
            </w:r>
          </w:p>
        </w:tc>
      </w:tr>
      <w:tr w:rsidR="000B0FDA" w:rsidRPr="00256811" w14:paraId="6614832E" w14:textId="77777777" w:rsidTr="71D66562">
        <w:tc>
          <w:tcPr>
            <w:tcW w:w="3526" w:type="dxa"/>
            <w:tcBorders>
              <w:top w:val="single" w:sz="6" w:space="0" w:color="DDDDDD"/>
            </w:tcBorders>
            <w:shd w:val="clear" w:color="auto" w:fill="FFFFFF" w:themeFill="background1"/>
            <w:tcMar>
              <w:top w:w="120" w:type="dxa"/>
              <w:left w:w="120" w:type="dxa"/>
              <w:bottom w:w="120" w:type="dxa"/>
              <w:right w:w="120" w:type="dxa"/>
            </w:tcMar>
          </w:tcPr>
          <w:p w14:paraId="0A9157C6" w14:textId="77777777" w:rsidR="000B0FDA" w:rsidRPr="00256811" w:rsidRDefault="000B0FDA" w:rsidP="0098760C">
            <w:r w:rsidRPr="1A25EA49">
              <w:t xml:space="preserve">Military Occupation(s) </w:t>
            </w:r>
          </w:p>
        </w:tc>
        <w:tc>
          <w:tcPr>
            <w:tcW w:w="9449" w:type="dxa"/>
            <w:tcBorders>
              <w:top w:val="single" w:sz="6" w:space="0" w:color="DDDDDD"/>
            </w:tcBorders>
            <w:shd w:val="clear" w:color="auto" w:fill="FFFFFF" w:themeFill="background1"/>
            <w:tcMar>
              <w:top w:w="120" w:type="dxa"/>
              <w:left w:w="120" w:type="dxa"/>
              <w:bottom w:w="120" w:type="dxa"/>
              <w:right w:w="120" w:type="dxa"/>
            </w:tcMar>
          </w:tcPr>
          <w:p w14:paraId="04E0F05E" w14:textId="77777777" w:rsidR="000B0FDA" w:rsidRPr="005914EA" w:rsidRDefault="000B0FDA" w:rsidP="0098760C">
            <w:r w:rsidRPr="1A25EA49">
              <w:t>A service member’s job(s) while in the military.</w:t>
            </w:r>
          </w:p>
          <w:p w14:paraId="44720AC8" w14:textId="77777777" w:rsidR="000B0FDA" w:rsidRPr="00256811" w:rsidRDefault="000B0FDA" w:rsidP="0098760C">
            <w:pPr>
              <w:tabs>
                <w:tab w:val="left" w:pos="1320"/>
              </w:tabs>
            </w:pPr>
          </w:p>
        </w:tc>
      </w:tr>
      <w:tr w:rsidR="000B0FDA" w:rsidRPr="00256811" w14:paraId="7C6B67B4" w14:textId="77777777" w:rsidTr="71D66562">
        <w:tc>
          <w:tcPr>
            <w:tcW w:w="3526" w:type="dxa"/>
            <w:tcBorders>
              <w:top w:val="single" w:sz="6" w:space="0" w:color="DDDDDD"/>
            </w:tcBorders>
            <w:shd w:val="clear" w:color="auto" w:fill="FFFFFF" w:themeFill="background1"/>
            <w:tcMar>
              <w:top w:w="120" w:type="dxa"/>
              <w:left w:w="120" w:type="dxa"/>
              <w:bottom w:w="120" w:type="dxa"/>
              <w:right w:w="120" w:type="dxa"/>
            </w:tcMar>
          </w:tcPr>
          <w:p w14:paraId="3BF96476" w14:textId="77777777" w:rsidR="000B0FDA" w:rsidRPr="00256811" w:rsidRDefault="000B0FDA" w:rsidP="0098760C">
            <w:r w:rsidRPr="1A25EA49">
              <w:lastRenderedPageBreak/>
              <w:t>Military Courses</w:t>
            </w:r>
          </w:p>
        </w:tc>
        <w:tc>
          <w:tcPr>
            <w:tcW w:w="9449" w:type="dxa"/>
            <w:tcBorders>
              <w:top w:val="single" w:sz="6" w:space="0" w:color="DDDDDD"/>
            </w:tcBorders>
            <w:shd w:val="clear" w:color="auto" w:fill="FFFFFF" w:themeFill="background1"/>
            <w:tcMar>
              <w:top w:w="120" w:type="dxa"/>
              <w:left w:w="120" w:type="dxa"/>
              <w:bottom w:w="120" w:type="dxa"/>
              <w:right w:w="120" w:type="dxa"/>
            </w:tcMar>
          </w:tcPr>
          <w:p w14:paraId="698FDA28" w14:textId="77777777" w:rsidR="000B0FDA" w:rsidRDefault="000B0FDA" w:rsidP="0098760C">
            <w:r w:rsidRPr="1A25EA49">
              <w:t>Curriculum with measurable outcomes, rubrics, and validated student assessment instruments. Courses may include lectures, small group work, case studies, skills lab, clinical work, practical exercises, computer-based delivery, and discussion boards.</w:t>
            </w:r>
          </w:p>
          <w:p w14:paraId="4EB121D2" w14:textId="77777777" w:rsidR="000B0FDA" w:rsidRPr="00256811" w:rsidRDefault="000B0FDA" w:rsidP="0098760C"/>
        </w:tc>
      </w:tr>
      <w:tr w:rsidR="000B0FDA" w:rsidRPr="00256811" w14:paraId="4806F473" w14:textId="77777777" w:rsidTr="71D66562">
        <w:tc>
          <w:tcPr>
            <w:tcW w:w="3526" w:type="dxa"/>
            <w:tcBorders>
              <w:top w:val="single" w:sz="6" w:space="0" w:color="DDDDDD"/>
            </w:tcBorders>
            <w:shd w:val="clear" w:color="auto" w:fill="FFFFFF" w:themeFill="background1"/>
            <w:tcMar>
              <w:top w:w="120" w:type="dxa"/>
              <w:left w:w="120" w:type="dxa"/>
              <w:bottom w:w="120" w:type="dxa"/>
              <w:right w:w="120" w:type="dxa"/>
            </w:tcMar>
          </w:tcPr>
          <w:p w14:paraId="3F764C3E" w14:textId="77777777" w:rsidR="000B0FDA" w:rsidRPr="00256811" w:rsidRDefault="000B0FDA" w:rsidP="0098760C">
            <w:r w:rsidRPr="1A25EA49">
              <w:t xml:space="preserve">Military Transcript </w:t>
            </w:r>
          </w:p>
        </w:tc>
        <w:tc>
          <w:tcPr>
            <w:tcW w:w="9449" w:type="dxa"/>
            <w:tcBorders>
              <w:top w:val="single" w:sz="6" w:space="0" w:color="DDDDDD"/>
            </w:tcBorders>
            <w:shd w:val="clear" w:color="auto" w:fill="FFFFFF" w:themeFill="background1"/>
            <w:tcMar>
              <w:top w:w="120" w:type="dxa"/>
              <w:left w:w="120" w:type="dxa"/>
              <w:bottom w:w="120" w:type="dxa"/>
              <w:right w:w="120" w:type="dxa"/>
            </w:tcMar>
          </w:tcPr>
          <w:p w14:paraId="3857B712" w14:textId="77777777" w:rsidR="000B0FDA" w:rsidRDefault="000B0FDA" w:rsidP="0098760C">
            <w:r w:rsidRPr="1A25EA49">
              <w:t>The Joint Services Transcript (JST) provides documented evidence to colleges and universities of professional military education, training, and occupation experiences achieved by service members and veterans.</w:t>
            </w:r>
          </w:p>
          <w:p w14:paraId="1817117F" w14:textId="77777777" w:rsidR="000B0FDA" w:rsidRPr="00256811" w:rsidRDefault="000B0FDA" w:rsidP="0098760C">
            <w:r w:rsidRPr="1A25EA49">
              <w:t>Air Force members will have a Community College of the Air Force transcript.</w:t>
            </w:r>
          </w:p>
        </w:tc>
      </w:tr>
      <w:tr w:rsidR="77F4B539" w14:paraId="3C3E3D7D" w14:textId="77777777" w:rsidTr="71D66562">
        <w:trPr>
          <w:trHeight w:val="300"/>
        </w:trPr>
        <w:tc>
          <w:tcPr>
            <w:tcW w:w="3526" w:type="dxa"/>
            <w:tcBorders>
              <w:top w:val="single" w:sz="6" w:space="0" w:color="DDDDDD"/>
            </w:tcBorders>
            <w:shd w:val="clear" w:color="auto" w:fill="FFFFFF" w:themeFill="background1"/>
            <w:tcMar>
              <w:top w:w="120" w:type="dxa"/>
              <w:left w:w="120" w:type="dxa"/>
              <w:bottom w:w="120" w:type="dxa"/>
              <w:right w:w="120" w:type="dxa"/>
            </w:tcMar>
          </w:tcPr>
          <w:p w14:paraId="6DAFBB19" w14:textId="2B08D4C5" w:rsidR="77F4B539" w:rsidRDefault="77F4B539">
            <w:r>
              <w:t>Minnesota State Colleges and Universities</w:t>
            </w:r>
          </w:p>
        </w:tc>
        <w:tc>
          <w:tcPr>
            <w:tcW w:w="9449" w:type="dxa"/>
            <w:tcBorders>
              <w:top w:val="single" w:sz="6" w:space="0" w:color="DDDDDD"/>
            </w:tcBorders>
            <w:shd w:val="clear" w:color="auto" w:fill="FFFFFF" w:themeFill="background1"/>
            <w:tcMar>
              <w:top w:w="120" w:type="dxa"/>
              <w:left w:w="120" w:type="dxa"/>
              <w:bottom w:w="120" w:type="dxa"/>
              <w:right w:w="120" w:type="dxa"/>
            </w:tcMar>
          </w:tcPr>
          <w:p w14:paraId="74398425" w14:textId="6551A4A5" w:rsidR="77F4B539" w:rsidRDefault="77F4B539">
            <w:r>
              <w:t>Minnesota State Colleges and Universities - 26 colleges (</w:t>
            </w:r>
            <w:r w:rsidR="008256E2">
              <w:t>associate</w:t>
            </w:r>
            <w:r>
              <w:t xml:space="preserve"> degrees, </w:t>
            </w:r>
            <w:r w:rsidR="008256E2">
              <w:t>d</w:t>
            </w:r>
            <w:r>
              <w:t xml:space="preserve">iplomas, and </w:t>
            </w:r>
            <w:r w:rsidR="008256E2">
              <w:t>c</w:t>
            </w:r>
            <w:r>
              <w:t>ertificates) and 7 universities (</w:t>
            </w:r>
            <w:r w:rsidR="008256E2">
              <w:t>b</w:t>
            </w:r>
            <w:r>
              <w:t xml:space="preserve">achelor and </w:t>
            </w:r>
            <w:r w:rsidR="008256E2">
              <w:t>g</w:t>
            </w:r>
            <w:r>
              <w:t xml:space="preserve">raduate degrees) </w:t>
            </w:r>
          </w:p>
        </w:tc>
      </w:tr>
      <w:tr w:rsidR="000B0FDA" w:rsidRPr="00256811" w14:paraId="613BA261" w14:textId="77777777" w:rsidTr="71D66562">
        <w:tc>
          <w:tcPr>
            <w:tcW w:w="3526" w:type="dxa"/>
            <w:tcBorders>
              <w:top w:val="single" w:sz="6" w:space="0" w:color="DDDDDD"/>
            </w:tcBorders>
            <w:shd w:val="clear" w:color="auto" w:fill="FFFFFF" w:themeFill="background1"/>
            <w:tcMar>
              <w:top w:w="120" w:type="dxa"/>
              <w:left w:w="120" w:type="dxa"/>
              <w:bottom w:w="120" w:type="dxa"/>
              <w:right w:w="120" w:type="dxa"/>
            </w:tcMar>
          </w:tcPr>
          <w:p w14:paraId="02A9656F" w14:textId="77777777" w:rsidR="000B0FDA" w:rsidRPr="005914EA" w:rsidRDefault="000B0FDA" w:rsidP="0098760C">
            <w:r w:rsidRPr="1A25EA49">
              <w:t>National standardized exams </w:t>
            </w:r>
          </w:p>
          <w:p w14:paraId="37A50E5E" w14:textId="77777777" w:rsidR="000B0FDA" w:rsidRDefault="000B0FDA" w:rsidP="0098760C"/>
        </w:tc>
        <w:tc>
          <w:tcPr>
            <w:tcW w:w="9449" w:type="dxa"/>
            <w:tcBorders>
              <w:top w:val="single" w:sz="6" w:space="0" w:color="DDDDDD"/>
            </w:tcBorders>
            <w:shd w:val="clear" w:color="auto" w:fill="FFFFFF" w:themeFill="background1"/>
            <w:tcMar>
              <w:top w:w="120" w:type="dxa"/>
              <w:left w:w="120" w:type="dxa"/>
              <w:bottom w:w="120" w:type="dxa"/>
              <w:right w:w="120" w:type="dxa"/>
            </w:tcMar>
          </w:tcPr>
          <w:p w14:paraId="72271ACA" w14:textId="09B9A439" w:rsidR="000B0FDA" w:rsidRPr="00256811" w:rsidRDefault="000B0FDA" w:rsidP="71D66562">
            <w:pPr>
              <w:rPr>
                <w:rFonts w:ascii="Calibri" w:eastAsia="Calibri" w:hAnsi="Calibri" w:cs="Calibri"/>
              </w:rPr>
            </w:pPr>
            <w:r w:rsidRPr="71D66562">
              <w:rPr>
                <w:rFonts w:ascii="Calibri" w:eastAsia="Calibri" w:hAnsi="Calibri" w:cs="Calibri"/>
                <w:sz w:val="24"/>
                <w:szCs w:val="24"/>
              </w:rPr>
              <w:t>Standardized proficiency examinations administered and scored by nationally recognized third-party assessment organizations. Examples include, but are not limited to: American Council on the Teaching of Foreign Languages (ACTFL); Advanced Placement (AP) examinations; International Baccalaureate (IB) examinations; College Level Examination Program (CLEP) examinations; Cambridge International examinations; DANTES Subject Standardized Tests (DSST); Excelsior College UExcel examinations; The National Occupational Competency Testing Institute (NOCTI) assessments; New York University Foreign Language Proficiency (NYUFLP) examinations; and Thomas Edison College Examination Program (TECEP).</w:t>
            </w:r>
          </w:p>
        </w:tc>
      </w:tr>
      <w:tr w:rsidR="000B0FDA" w:rsidRPr="00256811" w14:paraId="170A5826" w14:textId="77777777" w:rsidTr="71D66562">
        <w:tc>
          <w:tcPr>
            <w:tcW w:w="3526" w:type="dxa"/>
            <w:tcBorders>
              <w:top w:val="single" w:sz="6" w:space="0" w:color="DDDDDD"/>
            </w:tcBorders>
            <w:shd w:val="clear" w:color="auto" w:fill="FFFFFF" w:themeFill="background1"/>
            <w:tcMar>
              <w:top w:w="120" w:type="dxa"/>
              <w:left w:w="120" w:type="dxa"/>
              <w:bottom w:w="120" w:type="dxa"/>
              <w:right w:w="120" w:type="dxa"/>
            </w:tcMar>
          </w:tcPr>
          <w:p w14:paraId="47D14BC3" w14:textId="77777777" w:rsidR="000B0FDA" w:rsidRPr="00256811" w:rsidRDefault="000B0FDA" w:rsidP="0098760C">
            <w:r w:rsidRPr="1A25EA49">
              <w:t>NCCRS – National College Credit Recommendation Service</w:t>
            </w:r>
          </w:p>
        </w:tc>
        <w:tc>
          <w:tcPr>
            <w:tcW w:w="9449" w:type="dxa"/>
            <w:tcBorders>
              <w:top w:val="single" w:sz="6" w:space="0" w:color="DDDDDD"/>
            </w:tcBorders>
            <w:shd w:val="clear" w:color="auto" w:fill="FFFFFF" w:themeFill="background1"/>
            <w:tcMar>
              <w:top w:w="120" w:type="dxa"/>
              <w:left w:w="120" w:type="dxa"/>
              <w:bottom w:w="120" w:type="dxa"/>
              <w:right w:w="120" w:type="dxa"/>
            </w:tcMar>
          </w:tcPr>
          <w:p w14:paraId="43546097" w14:textId="77777777" w:rsidR="000B0FDA" w:rsidRPr="00256811" w:rsidRDefault="000B0FDA" w:rsidP="0098760C">
            <w:r w:rsidRPr="1A25EA49">
              <w:t>NCCRS (National College Credit Recommendation Service) evaluates training and education programs offered outside of the traditional college classroom setting and translates them into college credit equivalencies.</w:t>
            </w:r>
          </w:p>
        </w:tc>
      </w:tr>
      <w:tr w:rsidR="000B0FDA" w:rsidRPr="00256811" w14:paraId="08CF6A30" w14:textId="77777777" w:rsidTr="71D66562">
        <w:tc>
          <w:tcPr>
            <w:tcW w:w="3526" w:type="dxa"/>
            <w:tcBorders>
              <w:top w:val="single" w:sz="6" w:space="0" w:color="DDDDDD"/>
            </w:tcBorders>
            <w:shd w:val="clear" w:color="auto" w:fill="FFFFFF" w:themeFill="background1"/>
            <w:tcMar>
              <w:top w:w="120" w:type="dxa"/>
              <w:left w:w="120" w:type="dxa"/>
              <w:bottom w:w="120" w:type="dxa"/>
              <w:right w:w="120" w:type="dxa"/>
            </w:tcMar>
          </w:tcPr>
          <w:p w14:paraId="02E474BD" w14:textId="77777777" w:rsidR="000B0FDA" w:rsidRPr="00256811" w:rsidRDefault="000B0FDA" w:rsidP="0098760C">
            <w:r w:rsidRPr="1A25EA49">
              <w:t>NOCTI (National Occupational Competency Testing Institute)</w:t>
            </w:r>
          </w:p>
        </w:tc>
        <w:tc>
          <w:tcPr>
            <w:tcW w:w="9449" w:type="dxa"/>
            <w:tcBorders>
              <w:top w:val="single" w:sz="6" w:space="0" w:color="DDDDDD"/>
            </w:tcBorders>
            <w:shd w:val="clear" w:color="auto" w:fill="FFFFFF" w:themeFill="background1"/>
            <w:tcMar>
              <w:top w:w="120" w:type="dxa"/>
              <w:left w:w="120" w:type="dxa"/>
              <w:bottom w:w="120" w:type="dxa"/>
              <w:right w:w="120" w:type="dxa"/>
            </w:tcMar>
          </w:tcPr>
          <w:p w14:paraId="115F1C5A" w14:textId="77777777" w:rsidR="000B0FDA" w:rsidRPr="00256811" w:rsidRDefault="000B0FDA" w:rsidP="0098760C">
            <w:r w:rsidRPr="1A25EA49">
              <w:t>Most NOCTI credentials offer college credit recommendations. Experienced industry experts and professors working with the National College Credit Recommendation Service (NCCRS), have evaluated the rigor of NOCTI credentials to translate the content into college credit equivalencies. College credit equivalents for NOCTI’s credentials may be found on the </w:t>
            </w:r>
            <w:hyperlink r:id="rId10">
              <w:r w:rsidRPr="1A25EA49">
                <w:rPr>
                  <w:rStyle w:val="Hyperlink"/>
                  <w:color w:val="auto"/>
                </w:rPr>
                <w:t>NCCRS</w:t>
              </w:r>
            </w:hyperlink>
            <w:r w:rsidRPr="1A25EA49">
              <w:t> website.</w:t>
            </w:r>
          </w:p>
        </w:tc>
      </w:tr>
      <w:tr w:rsidR="000B0FDA" w:rsidRPr="00256811" w14:paraId="31AFFAD0" w14:textId="77777777" w:rsidTr="71D66562">
        <w:tc>
          <w:tcPr>
            <w:tcW w:w="3526" w:type="dxa"/>
            <w:tcBorders>
              <w:top w:val="single" w:sz="6" w:space="0" w:color="DDDDDD"/>
            </w:tcBorders>
            <w:shd w:val="clear" w:color="auto" w:fill="FFFFFF" w:themeFill="background1"/>
            <w:tcMar>
              <w:top w:w="120" w:type="dxa"/>
              <w:left w:w="120" w:type="dxa"/>
              <w:bottom w:w="120" w:type="dxa"/>
              <w:right w:w="120" w:type="dxa"/>
            </w:tcMar>
          </w:tcPr>
          <w:p w14:paraId="1829747A" w14:textId="77777777" w:rsidR="000B0FDA" w:rsidRPr="00256811" w:rsidRDefault="000B0FDA" w:rsidP="0098760C">
            <w:pPr>
              <w:tabs>
                <w:tab w:val="num" w:pos="720"/>
              </w:tabs>
            </w:pPr>
            <w:r w:rsidRPr="1A25EA49">
              <w:lastRenderedPageBreak/>
              <w:t>NYU (New York University) Language Exams </w:t>
            </w:r>
          </w:p>
        </w:tc>
        <w:tc>
          <w:tcPr>
            <w:tcW w:w="9449" w:type="dxa"/>
            <w:tcBorders>
              <w:top w:val="single" w:sz="6" w:space="0" w:color="DDDDDD"/>
            </w:tcBorders>
            <w:shd w:val="clear" w:color="auto" w:fill="FFFFFF" w:themeFill="background1"/>
            <w:tcMar>
              <w:top w:w="120" w:type="dxa"/>
              <w:left w:w="120" w:type="dxa"/>
              <w:bottom w:w="120" w:type="dxa"/>
              <w:right w:w="120" w:type="dxa"/>
            </w:tcMar>
          </w:tcPr>
          <w:p w14:paraId="09663946" w14:textId="77777777" w:rsidR="000B0FDA" w:rsidRPr="00256811" w:rsidRDefault="000B0FDA" w:rsidP="0098760C">
            <w:r w:rsidRPr="1A25EA49">
              <w:t xml:space="preserve">The New York University Foreign Language Proficiency Testing program is an examination program.   Each examination tests four basic areas: comprehension of the spoken language; the written language in composition; translation from English into the language; and translation from the language into English. </w:t>
            </w:r>
          </w:p>
        </w:tc>
      </w:tr>
      <w:tr w:rsidR="000B0FDA" w:rsidRPr="00256811" w14:paraId="566FAB2B" w14:textId="77777777" w:rsidTr="71D66562">
        <w:tc>
          <w:tcPr>
            <w:tcW w:w="3526" w:type="dxa"/>
            <w:tcBorders>
              <w:top w:val="single" w:sz="6" w:space="0" w:color="DDDDDD"/>
            </w:tcBorders>
            <w:shd w:val="clear" w:color="auto" w:fill="FFFFFF" w:themeFill="background1"/>
            <w:tcMar>
              <w:top w:w="120" w:type="dxa"/>
              <w:left w:w="120" w:type="dxa"/>
              <w:bottom w:w="120" w:type="dxa"/>
              <w:right w:w="120" w:type="dxa"/>
            </w:tcMar>
          </w:tcPr>
          <w:p w14:paraId="69BEEA56" w14:textId="77777777" w:rsidR="000B0FDA" w:rsidRPr="00256811" w:rsidRDefault="000B0FDA" w:rsidP="0098760C">
            <w:r w:rsidRPr="1A25EA49">
              <w:t>Prior Learning</w:t>
            </w:r>
          </w:p>
        </w:tc>
        <w:tc>
          <w:tcPr>
            <w:tcW w:w="9449" w:type="dxa"/>
            <w:tcBorders>
              <w:top w:val="single" w:sz="6" w:space="0" w:color="DDDDDD"/>
            </w:tcBorders>
            <w:shd w:val="clear" w:color="auto" w:fill="FFFFFF" w:themeFill="background1"/>
            <w:tcMar>
              <w:top w:w="120" w:type="dxa"/>
              <w:left w:w="120" w:type="dxa"/>
              <w:bottom w:w="120" w:type="dxa"/>
              <w:right w:w="120" w:type="dxa"/>
            </w:tcMar>
          </w:tcPr>
          <w:p w14:paraId="5C30C7D9" w14:textId="77777777" w:rsidR="000B0FDA" w:rsidRPr="00256811" w:rsidRDefault="000B0FDA" w:rsidP="0098760C">
            <w:pPr>
              <w:rPr>
                <w:rFonts w:ascii="Calibri" w:eastAsia="Calibri" w:hAnsi="Calibri" w:cs="Calibri"/>
              </w:rPr>
            </w:pPr>
            <w:r w:rsidRPr="1A25EA49">
              <w:rPr>
                <w:rFonts w:ascii="Calibri" w:eastAsia="Calibri" w:hAnsi="Calibri" w:cs="Calibri"/>
                <w:sz w:val="24"/>
                <w:szCs w:val="24"/>
              </w:rPr>
              <w:t>Learning gained in life, community and/or work-based settings, and through experiences outside of the college or university credit-bearing course, including but not limited to independent study, life experience and reflection, non-credit study programs, career education, continuing education, online learning or instruction, and training or certificate programs. The learning occurs “prior to” the student’s request for assessment at a college or university.</w:t>
            </w:r>
          </w:p>
        </w:tc>
      </w:tr>
      <w:tr w:rsidR="000B0FDA" w:rsidRPr="00256811" w14:paraId="6DA43003" w14:textId="77777777" w:rsidTr="71D66562">
        <w:tc>
          <w:tcPr>
            <w:tcW w:w="3526" w:type="dxa"/>
            <w:tcBorders>
              <w:top w:val="single" w:sz="6" w:space="0" w:color="DDDDDD"/>
            </w:tcBorders>
            <w:shd w:val="clear" w:color="auto" w:fill="FFFFFF" w:themeFill="background1"/>
            <w:tcMar>
              <w:top w:w="120" w:type="dxa"/>
              <w:left w:w="120" w:type="dxa"/>
              <w:bottom w:w="120" w:type="dxa"/>
              <w:right w:w="120" w:type="dxa"/>
            </w:tcMar>
          </w:tcPr>
          <w:p w14:paraId="15067A93" w14:textId="77777777" w:rsidR="000B0FDA" w:rsidRPr="00256811" w:rsidRDefault="000B0FDA" w:rsidP="0098760C">
            <w:pPr>
              <w:tabs>
                <w:tab w:val="right" w:pos="3286"/>
              </w:tabs>
            </w:pPr>
            <w:r w:rsidRPr="1A25EA49">
              <w:t>Rubric</w:t>
            </w:r>
            <w:r>
              <w:tab/>
            </w:r>
          </w:p>
        </w:tc>
        <w:tc>
          <w:tcPr>
            <w:tcW w:w="9449" w:type="dxa"/>
            <w:tcBorders>
              <w:top w:val="single" w:sz="6" w:space="0" w:color="DDDDDD"/>
            </w:tcBorders>
            <w:shd w:val="clear" w:color="auto" w:fill="FFFFFF" w:themeFill="background1"/>
            <w:tcMar>
              <w:top w:w="120" w:type="dxa"/>
              <w:left w:w="120" w:type="dxa"/>
              <w:bottom w:w="120" w:type="dxa"/>
              <w:right w:w="120" w:type="dxa"/>
            </w:tcMar>
          </w:tcPr>
          <w:p w14:paraId="349906BC" w14:textId="77777777" w:rsidR="000B0FDA" w:rsidRPr="002D6A78" w:rsidRDefault="000B0FDA" w:rsidP="0098760C">
            <w:r w:rsidRPr="1A25EA49">
              <w:t xml:space="preserve">A standardized grid that is used to evaluate, in this case course equivalencies, to help ensure an equitable review across departments, and campuses.  </w:t>
            </w:r>
          </w:p>
        </w:tc>
      </w:tr>
      <w:tr w:rsidR="000B0FDA" w:rsidRPr="00256811" w14:paraId="2A943D01" w14:textId="77777777" w:rsidTr="71D66562">
        <w:tc>
          <w:tcPr>
            <w:tcW w:w="3526" w:type="dxa"/>
            <w:tcBorders>
              <w:top w:val="single" w:sz="6" w:space="0" w:color="DDDDDD"/>
            </w:tcBorders>
            <w:shd w:val="clear" w:color="auto" w:fill="FFFFFF" w:themeFill="background1"/>
            <w:tcMar>
              <w:top w:w="120" w:type="dxa"/>
              <w:left w:w="120" w:type="dxa"/>
              <w:bottom w:w="120" w:type="dxa"/>
              <w:right w:w="120" w:type="dxa"/>
            </w:tcMar>
          </w:tcPr>
          <w:p w14:paraId="4ED2DB80" w14:textId="77777777" w:rsidR="000B0FDA" w:rsidRPr="00256811" w:rsidRDefault="000B0FDA" w:rsidP="0098760C">
            <w:r w:rsidRPr="1A25EA49">
              <w:t>StarID</w:t>
            </w:r>
          </w:p>
        </w:tc>
        <w:tc>
          <w:tcPr>
            <w:tcW w:w="9449" w:type="dxa"/>
            <w:tcBorders>
              <w:top w:val="single" w:sz="6" w:space="0" w:color="DDDDDD"/>
            </w:tcBorders>
            <w:shd w:val="clear" w:color="auto" w:fill="FFFFFF" w:themeFill="background1"/>
            <w:tcMar>
              <w:top w:w="120" w:type="dxa"/>
              <w:left w:w="120" w:type="dxa"/>
              <w:bottom w:w="120" w:type="dxa"/>
              <w:right w:w="120" w:type="dxa"/>
            </w:tcMar>
          </w:tcPr>
          <w:p w14:paraId="0A3B9372" w14:textId="77777777" w:rsidR="000B0FDA" w:rsidRPr="00256811" w:rsidRDefault="000B0FDA" w:rsidP="0098760C">
            <w:pPr>
              <w:rPr>
                <w:lang w:val="en"/>
              </w:rPr>
            </w:pPr>
            <w:r w:rsidRPr="1A25EA49">
              <w:rPr>
                <w:lang w:val="en"/>
              </w:rPr>
              <w:t xml:space="preserve">It is a username that replaces many login IDs with one ID, one password, everywhere. You only need one StarID: you can use the same StarID across Minnesota State to log into many services like email, D2L Brightspace, and more. </w:t>
            </w:r>
          </w:p>
        </w:tc>
      </w:tr>
      <w:tr w:rsidR="000B0FDA" w:rsidRPr="00256811" w14:paraId="5A931E89" w14:textId="77777777" w:rsidTr="71D66562">
        <w:tc>
          <w:tcPr>
            <w:tcW w:w="3526" w:type="dxa"/>
            <w:tcBorders>
              <w:top w:val="single" w:sz="6" w:space="0" w:color="DDDDDD"/>
            </w:tcBorders>
            <w:shd w:val="clear" w:color="auto" w:fill="FFFFFF" w:themeFill="background1"/>
            <w:tcMar>
              <w:top w:w="120" w:type="dxa"/>
              <w:left w:w="120" w:type="dxa"/>
              <w:bottom w:w="120" w:type="dxa"/>
              <w:right w:w="120" w:type="dxa"/>
            </w:tcMar>
            <w:hideMark/>
          </w:tcPr>
          <w:p w14:paraId="13F518DF" w14:textId="77777777" w:rsidR="000B0FDA" w:rsidRPr="00256811" w:rsidRDefault="000B0FDA" w:rsidP="0098760C">
            <w:r w:rsidRPr="1A25EA49">
              <w:t>Syllabus</w:t>
            </w:r>
          </w:p>
        </w:tc>
        <w:tc>
          <w:tcPr>
            <w:tcW w:w="9449" w:type="dxa"/>
            <w:tcBorders>
              <w:top w:val="single" w:sz="6" w:space="0" w:color="DDDDDD"/>
            </w:tcBorders>
            <w:shd w:val="clear" w:color="auto" w:fill="FFFFFF" w:themeFill="background1"/>
            <w:tcMar>
              <w:top w:w="120" w:type="dxa"/>
              <w:left w:w="120" w:type="dxa"/>
              <w:bottom w:w="120" w:type="dxa"/>
              <w:right w:w="120" w:type="dxa"/>
            </w:tcMar>
            <w:hideMark/>
          </w:tcPr>
          <w:p w14:paraId="3CC7DDC2" w14:textId="77777777" w:rsidR="000B0FDA" w:rsidRPr="00256811" w:rsidRDefault="000B0FDA" w:rsidP="0098760C">
            <w:r w:rsidRPr="1A25EA49">
              <w:t>An outline and summary of topics to be covered in a college or training course that includes a course description and learning outcomes</w:t>
            </w:r>
          </w:p>
        </w:tc>
      </w:tr>
      <w:tr w:rsidR="000B0FDA" w:rsidRPr="00256811" w14:paraId="6FD8508A" w14:textId="77777777" w:rsidTr="71D66562">
        <w:tc>
          <w:tcPr>
            <w:tcW w:w="3526" w:type="dxa"/>
            <w:tcBorders>
              <w:top w:val="single" w:sz="6" w:space="0" w:color="DDDDDD"/>
              <w:bottom w:val="single" w:sz="6" w:space="0" w:color="DDDDDD"/>
            </w:tcBorders>
            <w:shd w:val="clear" w:color="auto" w:fill="FFFFFF" w:themeFill="background1"/>
            <w:tcMar>
              <w:top w:w="120" w:type="dxa"/>
              <w:left w:w="120" w:type="dxa"/>
              <w:bottom w:w="120" w:type="dxa"/>
              <w:right w:w="120" w:type="dxa"/>
            </w:tcMar>
          </w:tcPr>
          <w:p w14:paraId="59075D69" w14:textId="77777777" w:rsidR="000B0FDA" w:rsidRPr="00256811" w:rsidRDefault="000B0FDA" w:rsidP="0098760C">
            <w:r w:rsidRPr="1A25EA49">
              <w:t>Transferology</w:t>
            </w:r>
          </w:p>
        </w:tc>
        <w:tc>
          <w:tcPr>
            <w:tcW w:w="9449" w:type="dxa"/>
            <w:tcBorders>
              <w:top w:val="single" w:sz="6" w:space="0" w:color="DDDDDD"/>
              <w:bottom w:val="single" w:sz="6" w:space="0" w:color="DDDDDD"/>
            </w:tcBorders>
            <w:shd w:val="clear" w:color="auto" w:fill="FFFFFF" w:themeFill="background1"/>
            <w:tcMar>
              <w:top w:w="120" w:type="dxa"/>
              <w:left w:w="120" w:type="dxa"/>
              <w:bottom w:w="120" w:type="dxa"/>
              <w:right w:w="120" w:type="dxa"/>
            </w:tcMar>
          </w:tcPr>
          <w:p w14:paraId="0A9777B7" w14:textId="77777777" w:rsidR="000B0FDA" w:rsidRPr="00256811" w:rsidRDefault="000B0FDA" w:rsidP="0098760C">
            <w:r w:rsidRPr="1A25EA49">
              <w:t>Transferology is a nationwide network designed to help students explore their college transfer options.  Participating campuses provide transfer equivalencies for students to access.  Students should be aware that not all courses or exams may be displayed in Transferology and should inquire with their home campus if they do not see an equivalency.</w:t>
            </w:r>
          </w:p>
        </w:tc>
      </w:tr>
      <w:tr w:rsidR="000B0FDA" w:rsidRPr="00256811" w14:paraId="2DAEB8CA" w14:textId="77777777" w:rsidTr="71D66562">
        <w:tc>
          <w:tcPr>
            <w:tcW w:w="3526" w:type="dxa"/>
            <w:tcBorders>
              <w:top w:val="single" w:sz="6" w:space="0" w:color="DDDDDD"/>
              <w:bottom w:val="single" w:sz="6" w:space="0" w:color="DDDDDD"/>
            </w:tcBorders>
            <w:shd w:val="clear" w:color="auto" w:fill="FFFFFF" w:themeFill="background1"/>
            <w:tcMar>
              <w:top w:w="120" w:type="dxa"/>
              <w:left w:w="120" w:type="dxa"/>
              <w:bottom w:w="120" w:type="dxa"/>
              <w:right w:w="120" w:type="dxa"/>
            </w:tcMar>
          </w:tcPr>
          <w:p w14:paraId="25347575" w14:textId="77777777" w:rsidR="000B0FDA" w:rsidRDefault="000B0FDA" w:rsidP="0098760C">
            <w:pPr>
              <w:tabs>
                <w:tab w:val="num" w:pos="720"/>
              </w:tabs>
            </w:pPr>
            <w:r w:rsidRPr="1A25EA49">
              <w:t>UExcel/Excelsior College Examination Program </w:t>
            </w:r>
          </w:p>
        </w:tc>
        <w:tc>
          <w:tcPr>
            <w:tcW w:w="9449" w:type="dxa"/>
            <w:tcBorders>
              <w:top w:val="single" w:sz="6" w:space="0" w:color="DDDDDD"/>
              <w:bottom w:val="single" w:sz="6" w:space="0" w:color="DDDDDD"/>
            </w:tcBorders>
            <w:shd w:val="clear" w:color="auto" w:fill="FFFFFF" w:themeFill="background1"/>
            <w:tcMar>
              <w:top w:w="120" w:type="dxa"/>
              <w:left w:w="120" w:type="dxa"/>
              <w:bottom w:w="120" w:type="dxa"/>
              <w:right w:w="120" w:type="dxa"/>
            </w:tcMar>
          </w:tcPr>
          <w:p w14:paraId="688ABE2D" w14:textId="77777777" w:rsidR="000B0FDA" w:rsidRPr="00256811" w:rsidRDefault="000B0FDA" w:rsidP="0098760C">
            <w:r w:rsidRPr="1A25EA49">
              <w:t>An array of proficiency exams that allow students to earn credit by taking a test after a period of supported independent study. Free content guides are provided to provide information on which topics tests will cover and include recommended textbooks, learning resources, and other materials to help prepare for the exam.</w:t>
            </w:r>
          </w:p>
        </w:tc>
      </w:tr>
      <w:tr w:rsidR="000B0FDA" w:rsidRPr="00256811" w14:paraId="5A8F0A85" w14:textId="77777777" w:rsidTr="71D66562">
        <w:tc>
          <w:tcPr>
            <w:tcW w:w="3526" w:type="dxa"/>
            <w:tcBorders>
              <w:top w:val="single" w:sz="6" w:space="0" w:color="DDDDDD"/>
              <w:bottom w:val="single" w:sz="6" w:space="0" w:color="DDDDDD"/>
            </w:tcBorders>
            <w:shd w:val="clear" w:color="auto" w:fill="FFFFFF" w:themeFill="background1"/>
            <w:tcMar>
              <w:top w:w="120" w:type="dxa"/>
              <w:left w:w="120" w:type="dxa"/>
              <w:bottom w:w="120" w:type="dxa"/>
              <w:right w:w="120" w:type="dxa"/>
            </w:tcMar>
          </w:tcPr>
          <w:p w14:paraId="22F3DB33" w14:textId="77777777" w:rsidR="000B0FDA" w:rsidRPr="001F49AA" w:rsidRDefault="000B0FDA" w:rsidP="0098760C">
            <w:pPr>
              <w:rPr>
                <w:color w:val="FF0000"/>
              </w:rPr>
            </w:pPr>
            <w:r w:rsidRPr="00BB63D5">
              <w:lastRenderedPageBreak/>
              <w:t>(VETS) - Veterans Education Transfer System</w:t>
            </w:r>
          </w:p>
        </w:tc>
        <w:tc>
          <w:tcPr>
            <w:tcW w:w="9449" w:type="dxa"/>
            <w:tcBorders>
              <w:top w:val="single" w:sz="6" w:space="0" w:color="DDDDDD"/>
              <w:bottom w:val="single" w:sz="6" w:space="0" w:color="DDDDDD"/>
            </w:tcBorders>
            <w:shd w:val="clear" w:color="auto" w:fill="FFFFFF" w:themeFill="background1"/>
            <w:tcMar>
              <w:top w:w="120" w:type="dxa"/>
              <w:left w:w="120" w:type="dxa"/>
              <w:bottom w:w="120" w:type="dxa"/>
              <w:right w:w="120" w:type="dxa"/>
            </w:tcMar>
          </w:tcPr>
          <w:p w14:paraId="002D07C0" w14:textId="489CF821" w:rsidR="000B0FDA" w:rsidRPr="00256811" w:rsidRDefault="00BB63D5" w:rsidP="0098760C">
            <w:r w:rsidRPr="00BB63D5">
              <w:t>VETS is an online application that helps past, present and future servicemen and servicewomen determine how their military training can count for credit at the colleges and universities of Minnesota State.</w:t>
            </w:r>
          </w:p>
        </w:tc>
      </w:tr>
      <w:tr w:rsidR="000B0FDA" w14:paraId="0F1391C7" w14:textId="77777777" w:rsidTr="71D66562">
        <w:tc>
          <w:tcPr>
            <w:tcW w:w="3526" w:type="dxa"/>
            <w:tcBorders>
              <w:top w:val="single" w:sz="6" w:space="0" w:color="DDDDDD"/>
              <w:bottom w:val="single" w:sz="6" w:space="0" w:color="DDDDDD"/>
            </w:tcBorders>
            <w:shd w:val="clear" w:color="auto" w:fill="FFFFFF" w:themeFill="background1"/>
            <w:tcMar>
              <w:top w:w="120" w:type="dxa"/>
              <w:left w:w="120" w:type="dxa"/>
              <w:bottom w:w="120" w:type="dxa"/>
              <w:right w:w="120" w:type="dxa"/>
            </w:tcMar>
          </w:tcPr>
          <w:p w14:paraId="3C936BE1" w14:textId="77777777" w:rsidR="000B0FDA" w:rsidRDefault="000B0FDA" w:rsidP="0098760C">
            <w:pPr>
              <w:tabs>
                <w:tab w:val="left" w:pos="2730"/>
              </w:tabs>
            </w:pPr>
            <w:r w:rsidRPr="1A25EA49">
              <w:t>Visiting student</w:t>
            </w:r>
          </w:p>
          <w:p w14:paraId="7E9E7D9D" w14:textId="77777777" w:rsidR="000B0FDA" w:rsidRDefault="000B0FDA" w:rsidP="0098760C"/>
        </w:tc>
        <w:tc>
          <w:tcPr>
            <w:tcW w:w="9449" w:type="dxa"/>
            <w:tcBorders>
              <w:top w:val="single" w:sz="6" w:space="0" w:color="DDDDDD"/>
              <w:bottom w:val="single" w:sz="6" w:space="0" w:color="DDDDDD"/>
            </w:tcBorders>
            <w:shd w:val="clear" w:color="auto" w:fill="FFFFFF" w:themeFill="background1"/>
            <w:tcMar>
              <w:top w:w="120" w:type="dxa"/>
              <w:left w:w="120" w:type="dxa"/>
              <w:bottom w:w="120" w:type="dxa"/>
              <w:right w:w="120" w:type="dxa"/>
            </w:tcMar>
          </w:tcPr>
          <w:p w14:paraId="2145D8F0" w14:textId="77777777" w:rsidR="000B0FDA" w:rsidRDefault="000B0FDA" w:rsidP="0098760C">
            <w:pPr>
              <w:tabs>
                <w:tab w:val="left" w:pos="2730"/>
              </w:tabs>
              <w:rPr>
                <w:rFonts w:ascii="Calibri" w:eastAsia="Calibri" w:hAnsi="Calibri" w:cs="Calibri"/>
              </w:rPr>
            </w:pPr>
            <w:r w:rsidRPr="1A25EA49">
              <w:t xml:space="preserve">A non-degree seeking student attending a Minnesota State college or university in visiting student status.  </w:t>
            </w:r>
            <w:r w:rsidRPr="1A25EA49">
              <w:rPr>
                <w:rFonts w:ascii="Calibri" w:eastAsia="Calibri" w:hAnsi="Calibri" w:cs="Calibri"/>
              </w:rPr>
              <w:t xml:space="preserve"> </w:t>
            </w:r>
          </w:p>
          <w:p w14:paraId="0FA02E0E" w14:textId="77777777" w:rsidR="000B0FDA" w:rsidRDefault="000B0FDA" w:rsidP="0098760C"/>
        </w:tc>
      </w:tr>
      <w:tr w:rsidR="000B0FDA" w:rsidRPr="00256811" w14:paraId="2D1427AA" w14:textId="77777777" w:rsidTr="71D66562">
        <w:tc>
          <w:tcPr>
            <w:tcW w:w="3526" w:type="dxa"/>
            <w:tcBorders>
              <w:top w:val="single" w:sz="6" w:space="0" w:color="DDDDDD"/>
              <w:bottom w:val="single" w:sz="6" w:space="0" w:color="DDDDDD"/>
            </w:tcBorders>
            <w:shd w:val="clear" w:color="auto" w:fill="FFFFFF" w:themeFill="background1"/>
            <w:tcMar>
              <w:top w:w="120" w:type="dxa"/>
              <w:left w:w="120" w:type="dxa"/>
              <w:bottom w:w="120" w:type="dxa"/>
              <w:right w:w="120" w:type="dxa"/>
            </w:tcMar>
          </w:tcPr>
          <w:p w14:paraId="7CCC25BA" w14:textId="77777777" w:rsidR="000B0FDA" w:rsidRDefault="000B0FDA" w:rsidP="0098760C">
            <w:r w:rsidRPr="1A25EA49">
              <w:t>World Languages seals and certificates</w:t>
            </w:r>
          </w:p>
          <w:p w14:paraId="3ED057BE" w14:textId="77777777" w:rsidR="000B0FDA" w:rsidRDefault="000B0FDA" w:rsidP="0098760C"/>
          <w:p w14:paraId="59C2E193" w14:textId="77777777" w:rsidR="000B0FDA" w:rsidRDefault="000B0FDA" w:rsidP="0098760C"/>
        </w:tc>
        <w:tc>
          <w:tcPr>
            <w:tcW w:w="9449" w:type="dxa"/>
            <w:tcBorders>
              <w:top w:val="single" w:sz="6" w:space="0" w:color="DDDDDD"/>
              <w:bottom w:val="single" w:sz="6" w:space="0" w:color="DDDDDD"/>
            </w:tcBorders>
            <w:shd w:val="clear" w:color="auto" w:fill="FFFFFF" w:themeFill="background1"/>
            <w:tcMar>
              <w:top w:w="120" w:type="dxa"/>
              <w:left w:w="120" w:type="dxa"/>
              <w:bottom w:w="120" w:type="dxa"/>
              <w:right w:w="120" w:type="dxa"/>
            </w:tcMar>
          </w:tcPr>
          <w:p w14:paraId="24549E2B" w14:textId="77777777" w:rsidR="000B0FDA" w:rsidRPr="00256811" w:rsidRDefault="000B0FDA" w:rsidP="0098760C">
            <w:pPr>
              <w:spacing w:after="0"/>
            </w:pPr>
            <w:r w:rsidRPr="1A25EA49">
              <w:t>Minnesota high school issued bilingual and multilingual certificates and seals that recognize high school students who demonstrate an advanced-low level or an intermediate high level of functional proficiency in one or more languages in addition to English.</w:t>
            </w:r>
          </w:p>
          <w:p w14:paraId="5D44A253" w14:textId="77777777" w:rsidR="000B0FDA" w:rsidRPr="00256811" w:rsidRDefault="000B0FDA" w:rsidP="0098760C"/>
        </w:tc>
      </w:tr>
    </w:tbl>
    <w:p w14:paraId="66F40994" w14:textId="77777777" w:rsidR="000B0FDA" w:rsidRPr="000B0FDA" w:rsidRDefault="000B0FDA" w:rsidP="000B0FDA"/>
    <w:sectPr w:rsidR="000B0FDA" w:rsidRPr="000B0FDA" w:rsidSect="00591CFA">
      <w:pgSz w:w="15840" w:h="12240" w:orient="landscape"/>
      <w:pgMar w:top="720" w:right="72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17F97E" w14:textId="77777777" w:rsidR="00FD5318" w:rsidRDefault="00FD5318" w:rsidP="0067442C">
      <w:pPr>
        <w:spacing w:after="0" w:line="240" w:lineRule="auto"/>
      </w:pPr>
      <w:r>
        <w:separator/>
      </w:r>
    </w:p>
  </w:endnote>
  <w:endnote w:type="continuationSeparator" w:id="0">
    <w:p w14:paraId="05879807" w14:textId="77777777" w:rsidR="00FD5318" w:rsidRDefault="00FD5318" w:rsidP="0067442C">
      <w:pPr>
        <w:spacing w:after="0" w:line="240" w:lineRule="auto"/>
      </w:pPr>
      <w:r>
        <w:continuationSeparator/>
      </w:r>
    </w:p>
  </w:endnote>
  <w:endnote w:type="continuationNotice" w:id="1">
    <w:p w14:paraId="54FE20B1" w14:textId="77777777" w:rsidR="00FD5318" w:rsidRDefault="00FD531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4E3357" w14:textId="77777777" w:rsidR="00FD5318" w:rsidRDefault="00FD5318" w:rsidP="0067442C">
      <w:pPr>
        <w:spacing w:after="0" w:line="240" w:lineRule="auto"/>
      </w:pPr>
      <w:r>
        <w:separator/>
      </w:r>
    </w:p>
  </w:footnote>
  <w:footnote w:type="continuationSeparator" w:id="0">
    <w:p w14:paraId="4C8FD3C3" w14:textId="77777777" w:rsidR="00FD5318" w:rsidRDefault="00FD5318" w:rsidP="0067442C">
      <w:pPr>
        <w:spacing w:after="0" w:line="240" w:lineRule="auto"/>
      </w:pPr>
      <w:r>
        <w:continuationSeparator/>
      </w:r>
    </w:p>
  </w:footnote>
  <w:footnote w:type="continuationNotice" w:id="1">
    <w:p w14:paraId="7352FCE9" w14:textId="77777777" w:rsidR="00FD5318" w:rsidRDefault="00FD5318">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bookmark int2:bookmarkName="_Int_8mumMhQb" int2:invalidationBookmarkName="" int2:hashCode="V9ivzS98IUcTOL" int2:id="b5sdPqtQ">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E066E4"/>
    <w:multiLevelType w:val="multilevel"/>
    <w:tmpl w:val="0E6A76F0"/>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 w15:restartNumberingAfterBreak="0">
    <w:nsid w:val="37382B65"/>
    <w:multiLevelType w:val="multilevel"/>
    <w:tmpl w:val="D52450FA"/>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num w:numId="1" w16cid:durableId="291520212">
    <w:abstractNumId w:val="0"/>
  </w:num>
  <w:num w:numId="2" w16cid:durableId="3413939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readOnly" w:enforcement="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FB3DE21"/>
    <w:rsid w:val="000364B8"/>
    <w:rsid w:val="00063756"/>
    <w:rsid w:val="000852C9"/>
    <w:rsid w:val="0008793C"/>
    <w:rsid w:val="00090BB5"/>
    <w:rsid w:val="000A140F"/>
    <w:rsid w:val="000A7766"/>
    <w:rsid w:val="000B0FDA"/>
    <w:rsid w:val="000B27AB"/>
    <w:rsid w:val="000B55A8"/>
    <w:rsid w:val="000C3F97"/>
    <w:rsid w:val="000C6C29"/>
    <w:rsid w:val="000E718E"/>
    <w:rsid w:val="00103526"/>
    <w:rsid w:val="00113F5A"/>
    <w:rsid w:val="001149F2"/>
    <w:rsid w:val="00115A89"/>
    <w:rsid w:val="00131244"/>
    <w:rsid w:val="00142ADE"/>
    <w:rsid w:val="00147885"/>
    <w:rsid w:val="001820FC"/>
    <w:rsid w:val="00190315"/>
    <w:rsid w:val="001951CF"/>
    <w:rsid w:val="00197AB3"/>
    <w:rsid w:val="001A193B"/>
    <w:rsid w:val="001A3CA6"/>
    <w:rsid w:val="001B63AD"/>
    <w:rsid w:val="001D09E2"/>
    <w:rsid w:val="001E3D8A"/>
    <w:rsid w:val="001F429D"/>
    <w:rsid w:val="001F49AA"/>
    <w:rsid w:val="00204AB9"/>
    <w:rsid w:val="0020576B"/>
    <w:rsid w:val="00206654"/>
    <w:rsid w:val="00206A0E"/>
    <w:rsid w:val="00211DE0"/>
    <w:rsid w:val="00247EF0"/>
    <w:rsid w:val="00256811"/>
    <w:rsid w:val="00261354"/>
    <w:rsid w:val="002720CA"/>
    <w:rsid w:val="00283DAB"/>
    <w:rsid w:val="00290F24"/>
    <w:rsid w:val="00292CAF"/>
    <w:rsid w:val="002B34DB"/>
    <w:rsid w:val="002B7236"/>
    <w:rsid w:val="002C169B"/>
    <w:rsid w:val="002D6A78"/>
    <w:rsid w:val="002F4C08"/>
    <w:rsid w:val="002F60BC"/>
    <w:rsid w:val="00300AA8"/>
    <w:rsid w:val="00313D92"/>
    <w:rsid w:val="003520CC"/>
    <w:rsid w:val="003A303B"/>
    <w:rsid w:val="003C7784"/>
    <w:rsid w:val="003D22FD"/>
    <w:rsid w:val="00423B40"/>
    <w:rsid w:val="00443D5E"/>
    <w:rsid w:val="00447A67"/>
    <w:rsid w:val="00447DAD"/>
    <w:rsid w:val="00450BD7"/>
    <w:rsid w:val="00454380"/>
    <w:rsid w:val="00457100"/>
    <w:rsid w:val="00467E73"/>
    <w:rsid w:val="00474FA4"/>
    <w:rsid w:val="004823D5"/>
    <w:rsid w:val="004856DC"/>
    <w:rsid w:val="00486889"/>
    <w:rsid w:val="004A3817"/>
    <w:rsid w:val="004B0B0A"/>
    <w:rsid w:val="004B366B"/>
    <w:rsid w:val="004B5BD1"/>
    <w:rsid w:val="004C1636"/>
    <w:rsid w:val="004C170F"/>
    <w:rsid w:val="004C36F6"/>
    <w:rsid w:val="004C5FA1"/>
    <w:rsid w:val="004D52A1"/>
    <w:rsid w:val="00505AC0"/>
    <w:rsid w:val="0053074A"/>
    <w:rsid w:val="00542095"/>
    <w:rsid w:val="0054613D"/>
    <w:rsid w:val="0055726F"/>
    <w:rsid w:val="00561605"/>
    <w:rsid w:val="0056244F"/>
    <w:rsid w:val="00565728"/>
    <w:rsid w:val="00571F6D"/>
    <w:rsid w:val="00574450"/>
    <w:rsid w:val="00576D4A"/>
    <w:rsid w:val="005914EA"/>
    <w:rsid w:val="00591CFA"/>
    <w:rsid w:val="005931A1"/>
    <w:rsid w:val="00593314"/>
    <w:rsid w:val="005C3834"/>
    <w:rsid w:val="005E5C5E"/>
    <w:rsid w:val="005F6FCE"/>
    <w:rsid w:val="006020BD"/>
    <w:rsid w:val="00607338"/>
    <w:rsid w:val="00622BDB"/>
    <w:rsid w:val="006252F7"/>
    <w:rsid w:val="00633F14"/>
    <w:rsid w:val="006624A7"/>
    <w:rsid w:val="006627A2"/>
    <w:rsid w:val="00673B53"/>
    <w:rsid w:val="0067416B"/>
    <w:rsid w:val="0067442C"/>
    <w:rsid w:val="006845F6"/>
    <w:rsid w:val="00694BD8"/>
    <w:rsid w:val="006A6286"/>
    <w:rsid w:val="006C11C3"/>
    <w:rsid w:val="006E18B1"/>
    <w:rsid w:val="006E71CE"/>
    <w:rsid w:val="006F4308"/>
    <w:rsid w:val="00713B39"/>
    <w:rsid w:val="00716EE3"/>
    <w:rsid w:val="00726063"/>
    <w:rsid w:val="00733E8F"/>
    <w:rsid w:val="007344EE"/>
    <w:rsid w:val="007406C9"/>
    <w:rsid w:val="007759CF"/>
    <w:rsid w:val="0077742D"/>
    <w:rsid w:val="007850D9"/>
    <w:rsid w:val="00792D67"/>
    <w:rsid w:val="007A3F43"/>
    <w:rsid w:val="007A4A36"/>
    <w:rsid w:val="007B75D9"/>
    <w:rsid w:val="007D0B84"/>
    <w:rsid w:val="007D6783"/>
    <w:rsid w:val="007F5F23"/>
    <w:rsid w:val="00802A91"/>
    <w:rsid w:val="008256E2"/>
    <w:rsid w:val="00835232"/>
    <w:rsid w:val="008353C5"/>
    <w:rsid w:val="008365C1"/>
    <w:rsid w:val="00846656"/>
    <w:rsid w:val="008540CC"/>
    <w:rsid w:val="00857009"/>
    <w:rsid w:val="00867C3D"/>
    <w:rsid w:val="00885C5F"/>
    <w:rsid w:val="008A1830"/>
    <w:rsid w:val="008A292F"/>
    <w:rsid w:val="008A3372"/>
    <w:rsid w:val="008B4921"/>
    <w:rsid w:val="008C0AA8"/>
    <w:rsid w:val="008E23DD"/>
    <w:rsid w:val="008F3FBB"/>
    <w:rsid w:val="008F4AAF"/>
    <w:rsid w:val="008F745E"/>
    <w:rsid w:val="008F7896"/>
    <w:rsid w:val="00900C44"/>
    <w:rsid w:val="0090386C"/>
    <w:rsid w:val="00904D1A"/>
    <w:rsid w:val="00917B0E"/>
    <w:rsid w:val="00931BE9"/>
    <w:rsid w:val="0093247B"/>
    <w:rsid w:val="009373EA"/>
    <w:rsid w:val="00985228"/>
    <w:rsid w:val="00986C87"/>
    <w:rsid w:val="009A3074"/>
    <w:rsid w:val="009C0566"/>
    <w:rsid w:val="009C0BBB"/>
    <w:rsid w:val="009C1859"/>
    <w:rsid w:val="009E0F7E"/>
    <w:rsid w:val="009E447C"/>
    <w:rsid w:val="00A02321"/>
    <w:rsid w:val="00A14E02"/>
    <w:rsid w:val="00A22DCE"/>
    <w:rsid w:val="00A54BD2"/>
    <w:rsid w:val="00A65239"/>
    <w:rsid w:val="00A65A00"/>
    <w:rsid w:val="00A6606A"/>
    <w:rsid w:val="00A71218"/>
    <w:rsid w:val="00A80D26"/>
    <w:rsid w:val="00A878F2"/>
    <w:rsid w:val="00A96020"/>
    <w:rsid w:val="00AA2A3E"/>
    <w:rsid w:val="00AC5FCB"/>
    <w:rsid w:val="00B068C9"/>
    <w:rsid w:val="00B402A3"/>
    <w:rsid w:val="00B443DC"/>
    <w:rsid w:val="00B51ED2"/>
    <w:rsid w:val="00B65E98"/>
    <w:rsid w:val="00B7109A"/>
    <w:rsid w:val="00B71E0A"/>
    <w:rsid w:val="00B72682"/>
    <w:rsid w:val="00B87DDE"/>
    <w:rsid w:val="00BB63D5"/>
    <w:rsid w:val="00BD44FE"/>
    <w:rsid w:val="00BF1B94"/>
    <w:rsid w:val="00BF31A8"/>
    <w:rsid w:val="00C03A94"/>
    <w:rsid w:val="00C11770"/>
    <w:rsid w:val="00C151ED"/>
    <w:rsid w:val="00C23044"/>
    <w:rsid w:val="00C43A8D"/>
    <w:rsid w:val="00C60FD5"/>
    <w:rsid w:val="00C9073F"/>
    <w:rsid w:val="00CA3B5B"/>
    <w:rsid w:val="00CC2E36"/>
    <w:rsid w:val="00CD2D7B"/>
    <w:rsid w:val="00D12378"/>
    <w:rsid w:val="00D13811"/>
    <w:rsid w:val="00D20F0D"/>
    <w:rsid w:val="00D4265F"/>
    <w:rsid w:val="00D43DF3"/>
    <w:rsid w:val="00D44C76"/>
    <w:rsid w:val="00D44F91"/>
    <w:rsid w:val="00D52EAC"/>
    <w:rsid w:val="00D570BA"/>
    <w:rsid w:val="00D85CDA"/>
    <w:rsid w:val="00D91C1C"/>
    <w:rsid w:val="00DA6103"/>
    <w:rsid w:val="00DB6551"/>
    <w:rsid w:val="00DB6D86"/>
    <w:rsid w:val="00DB7AC5"/>
    <w:rsid w:val="00DC26C3"/>
    <w:rsid w:val="00DD0323"/>
    <w:rsid w:val="00DF4996"/>
    <w:rsid w:val="00E1024A"/>
    <w:rsid w:val="00E21D3C"/>
    <w:rsid w:val="00E374A8"/>
    <w:rsid w:val="00E41CC7"/>
    <w:rsid w:val="00E431A8"/>
    <w:rsid w:val="00E51ACA"/>
    <w:rsid w:val="00E5648F"/>
    <w:rsid w:val="00E641CE"/>
    <w:rsid w:val="00E64B9A"/>
    <w:rsid w:val="00E6654A"/>
    <w:rsid w:val="00E81BEE"/>
    <w:rsid w:val="00E829BC"/>
    <w:rsid w:val="00E85124"/>
    <w:rsid w:val="00E8566A"/>
    <w:rsid w:val="00ED436E"/>
    <w:rsid w:val="00EE03B4"/>
    <w:rsid w:val="00EF0CDC"/>
    <w:rsid w:val="00F026BF"/>
    <w:rsid w:val="00F0273B"/>
    <w:rsid w:val="00F04AC9"/>
    <w:rsid w:val="00F075BC"/>
    <w:rsid w:val="00F12571"/>
    <w:rsid w:val="00F22A38"/>
    <w:rsid w:val="00F41E1F"/>
    <w:rsid w:val="00F47273"/>
    <w:rsid w:val="00F72D97"/>
    <w:rsid w:val="00F82648"/>
    <w:rsid w:val="00F83B1C"/>
    <w:rsid w:val="00F83B7B"/>
    <w:rsid w:val="00F86FDA"/>
    <w:rsid w:val="00FC33D8"/>
    <w:rsid w:val="00FD5318"/>
    <w:rsid w:val="00FE0507"/>
    <w:rsid w:val="00FE14C8"/>
    <w:rsid w:val="00FE31C7"/>
    <w:rsid w:val="00FE468C"/>
    <w:rsid w:val="0217001E"/>
    <w:rsid w:val="023D66E5"/>
    <w:rsid w:val="031DBA30"/>
    <w:rsid w:val="0495223E"/>
    <w:rsid w:val="065B4F3F"/>
    <w:rsid w:val="06925DF9"/>
    <w:rsid w:val="0725C79F"/>
    <w:rsid w:val="082E2E5A"/>
    <w:rsid w:val="086421C9"/>
    <w:rsid w:val="087D9682"/>
    <w:rsid w:val="0A70AB63"/>
    <w:rsid w:val="0B12E2BA"/>
    <w:rsid w:val="0B2EC062"/>
    <w:rsid w:val="0CE9BE40"/>
    <w:rsid w:val="0D1AC6DF"/>
    <w:rsid w:val="0D28DE13"/>
    <w:rsid w:val="0D61635A"/>
    <w:rsid w:val="0DEEF4D1"/>
    <w:rsid w:val="0E7BB298"/>
    <w:rsid w:val="0F92037C"/>
    <w:rsid w:val="1099041C"/>
    <w:rsid w:val="10D93EDA"/>
    <w:rsid w:val="1130A233"/>
    <w:rsid w:val="11D89627"/>
    <w:rsid w:val="12E19DAB"/>
    <w:rsid w:val="145472E5"/>
    <w:rsid w:val="147DCB56"/>
    <w:rsid w:val="149EE355"/>
    <w:rsid w:val="14F6A75D"/>
    <w:rsid w:val="16068A41"/>
    <w:rsid w:val="1783ED04"/>
    <w:rsid w:val="17B56C18"/>
    <w:rsid w:val="191FBD65"/>
    <w:rsid w:val="1A25EA49"/>
    <w:rsid w:val="1B5CCE0C"/>
    <w:rsid w:val="1BD5668F"/>
    <w:rsid w:val="1C2C15E4"/>
    <w:rsid w:val="1C5511E8"/>
    <w:rsid w:val="1CC98569"/>
    <w:rsid w:val="1CE8A213"/>
    <w:rsid w:val="1E6555CA"/>
    <w:rsid w:val="1FB3DE21"/>
    <w:rsid w:val="2034BEAF"/>
    <w:rsid w:val="22C5CF00"/>
    <w:rsid w:val="232CF574"/>
    <w:rsid w:val="233170DF"/>
    <w:rsid w:val="233EBB3A"/>
    <w:rsid w:val="23B0524B"/>
    <w:rsid w:val="23FBE846"/>
    <w:rsid w:val="242EBC36"/>
    <w:rsid w:val="247AEFC8"/>
    <w:rsid w:val="251C15A3"/>
    <w:rsid w:val="253DD19B"/>
    <w:rsid w:val="2569D64E"/>
    <w:rsid w:val="25902E75"/>
    <w:rsid w:val="265C63B5"/>
    <w:rsid w:val="27F69526"/>
    <w:rsid w:val="28A17710"/>
    <w:rsid w:val="29AB8DE4"/>
    <w:rsid w:val="2A41FAD9"/>
    <w:rsid w:val="2A478A7F"/>
    <w:rsid w:val="2AEF2D86"/>
    <w:rsid w:val="2BDDCB3A"/>
    <w:rsid w:val="2C749ECC"/>
    <w:rsid w:val="2DD3F17A"/>
    <w:rsid w:val="2DED3197"/>
    <w:rsid w:val="2DFE25FC"/>
    <w:rsid w:val="2E1FFF18"/>
    <w:rsid w:val="2E2F2635"/>
    <w:rsid w:val="2E65D6AA"/>
    <w:rsid w:val="2F156BFC"/>
    <w:rsid w:val="2FCF574C"/>
    <w:rsid w:val="301FBCCF"/>
    <w:rsid w:val="3188198D"/>
    <w:rsid w:val="31DE2F9A"/>
    <w:rsid w:val="31EFC510"/>
    <w:rsid w:val="3233E55C"/>
    <w:rsid w:val="32AC32C1"/>
    <w:rsid w:val="32E3E050"/>
    <w:rsid w:val="33AD4DB8"/>
    <w:rsid w:val="34509F87"/>
    <w:rsid w:val="34568346"/>
    <w:rsid w:val="34590A00"/>
    <w:rsid w:val="349E67B9"/>
    <w:rsid w:val="34A9DAC6"/>
    <w:rsid w:val="3536F5F1"/>
    <w:rsid w:val="368EFE53"/>
    <w:rsid w:val="36A559A2"/>
    <w:rsid w:val="37C58015"/>
    <w:rsid w:val="391A9966"/>
    <w:rsid w:val="395425D6"/>
    <w:rsid w:val="3AA288D5"/>
    <w:rsid w:val="3B19914A"/>
    <w:rsid w:val="3E6D2E77"/>
    <w:rsid w:val="3F9FECAF"/>
    <w:rsid w:val="3FAC8320"/>
    <w:rsid w:val="40951068"/>
    <w:rsid w:val="40D93E09"/>
    <w:rsid w:val="4129A38C"/>
    <w:rsid w:val="413BBD10"/>
    <w:rsid w:val="41A4CF39"/>
    <w:rsid w:val="423AFE3B"/>
    <w:rsid w:val="42750E6A"/>
    <w:rsid w:val="43409F9A"/>
    <w:rsid w:val="43C46DA1"/>
    <w:rsid w:val="43DC1E2B"/>
    <w:rsid w:val="440C7E15"/>
    <w:rsid w:val="442A062D"/>
    <w:rsid w:val="45603E02"/>
    <w:rsid w:val="46296153"/>
    <w:rsid w:val="465004A4"/>
    <w:rsid w:val="466520B6"/>
    <w:rsid w:val="46841E5E"/>
    <w:rsid w:val="473E8F31"/>
    <w:rsid w:val="4897DEC4"/>
    <w:rsid w:val="48A80FD3"/>
    <w:rsid w:val="48C6C6DB"/>
    <w:rsid w:val="497C3349"/>
    <w:rsid w:val="4A9947B1"/>
    <w:rsid w:val="4AB75D75"/>
    <w:rsid w:val="4AC39150"/>
    <w:rsid w:val="4B32857D"/>
    <w:rsid w:val="4B729984"/>
    <w:rsid w:val="4D0FB3A3"/>
    <w:rsid w:val="4E1B4ADB"/>
    <w:rsid w:val="4F35A08A"/>
    <w:rsid w:val="5235C9BC"/>
    <w:rsid w:val="524DDB10"/>
    <w:rsid w:val="52C7DE53"/>
    <w:rsid w:val="534BAC5A"/>
    <w:rsid w:val="53EAC27A"/>
    <w:rsid w:val="5448177D"/>
    <w:rsid w:val="54861818"/>
    <w:rsid w:val="54A18266"/>
    <w:rsid w:val="54FA814B"/>
    <w:rsid w:val="557E4F52"/>
    <w:rsid w:val="558911D7"/>
    <w:rsid w:val="55CFF829"/>
    <w:rsid w:val="5600C291"/>
    <w:rsid w:val="5784E243"/>
    <w:rsid w:val="58118A3F"/>
    <w:rsid w:val="58680839"/>
    <w:rsid w:val="591DF77A"/>
    <w:rsid w:val="59D9D070"/>
    <w:rsid w:val="5A01B33D"/>
    <w:rsid w:val="5AB75901"/>
    <w:rsid w:val="5AB9C7DB"/>
    <w:rsid w:val="5D2DE1E2"/>
    <w:rsid w:val="5DEEF9C3"/>
    <w:rsid w:val="601C83B1"/>
    <w:rsid w:val="60604A14"/>
    <w:rsid w:val="60EFEA10"/>
    <w:rsid w:val="61633671"/>
    <w:rsid w:val="61CBB9F8"/>
    <w:rsid w:val="61EDA4D8"/>
    <w:rsid w:val="65BFEE75"/>
    <w:rsid w:val="660A3A2A"/>
    <w:rsid w:val="67A03869"/>
    <w:rsid w:val="67B69461"/>
    <w:rsid w:val="68255D0B"/>
    <w:rsid w:val="695C9AFD"/>
    <w:rsid w:val="696EDCFB"/>
    <w:rsid w:val="69A5DA1B"/>
    <w:rsid w:val="6A072DF6"/>
    <w:rsid w:val="6AF0F05A"/>
    <w:rsid w:val="6B285A59"/>
    <w:rsid w:val="6BA81761"/>
    <w:rsid w:val="6BF16F06"/>
    <w:rsid w:val="6EE226FD"/>
    <w:rsid w:val="6F39230C"/>
    <w:rsid w:val="6FB5B86A"/>
    <w:rsid w:val="7015EFF8"/>
    <w:rsid w:val="70971FBB"/>
    <w:rsid w:val="712A766B"/>
    <w:rsid w:val="71D66562"/>
    <w:rsid w:val="724558CB"/>
    <w:rsid w:val="73E3588E"/>
    <w:rsid w:val="73F9D24A"/>
    <w:rsid w:val="74E5CDFF"/>
    <w:rsid w:val="760F91AC"/>
    <w:rsid w:val="76CC83CB"/>
    <w:rsid w:val="775ECFF3"/>
    <w:rsid w:val="77F4B539"/>
    <w:rsid w:val="78296D70"/>
    <w:rsid w:val="78DB401F"/>
    <w:rsid w:val="79900046"/>
    <w:rsid w:val="79BCD23E"/>
    <w:rsid w:val="7A0A6B0F"/>
    <w:rsid w:val="7A226ACA"/>
    <w:rsid w:val="7BA512CE"/>
    <w:rsid w:val="7BD6D080"/>
    <w:rsid w:val="7D96A778"/>
    <w:rsid w:val="7E37CFC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3DE21"/>
  <w15:chartTrackingRefBased/>
  <w15:docId w15:val="{B0541A7B-7905-4035-BA73-12E13DC5F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6744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442C"/>
  </w:style>
  <w:style w:type="paragraph" w:styleId="Footer">
    <w:name w:val="footer"/>
    <w:basedOn w:val="Normal"/>
    <w:link w:val="FooterChar"/>
    <w:uiPriority w:val="99"/>
    <w:unhideWhenUsed/>
    <w:rsid w:val="006744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42C"/>
  </w:style>
  <w:style w:type="character" w:styleId="Hyperlink">
    <w:name w:val="Hyperlink"/>
    <w:basedOn w:val="DefaultParagraphFont"/>
    <w:uiPriority w:val="99"/>
    <w:unhideWhenUsed/>
    <w:rsid w:val="00867C3D"/>
    <w:rPr>
      <w:color w:val="0563C1" w:themeColor="hyperlink"/>
      <w:u w:val="single"/>
    </w:rPr>
  </w:style>
  <w:style w:type="character" w:styleId="UnresolvedMention">
    <w:name w:val="Unresolved Mention"/>
    <w:basedOn w:val="DefaultParagraphFont"/>
    <w:uiPriority w:val="99"/>
    <w:semiHidden/>
    <w:unhideWhenUsed/>
    <w:rsid w:val="00867C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74295">
      <w:bodyDiv w:val="1"/>
      <w:marLeft w:val="0"/>
      <w:marRight w:val="0"/>
      <w:marTop w:val="0"/>
      <w:marBottom w:val="0"/>
      <w:divBdr>
        <w:top w:val="none" w:sz="0" w:space="0" w:color="auto"/>
        <w:left w:val="none" w:sz="0" w:space="0" w:color="auto"/>
        <w:bottom w:val="none" w:sz="0" w:space="0" w:color="auto"/>
        <w:right w:val="none" w:sz="0" w:space="0" w:color="auto"/>
      </w:divBdr>
    </w:div>
    <w:div w:id="33165591">
      <w:bodyDiv w:val="1"/>
      <w:marLeft w:val="0"/>
      <w:marRight w:val="0"/>
      <w:marTop w:val="0"/>
      <w:marBottom w:val="0"/>
      <w:divBdr>
        <w:top w:val="none" w:sz="0" w:space="0" w:color="auto"/>
        <w:left w:val="none" w:sz="0" w:space="0" w:color="auto"/>
        <w:bottom w:val="none" w:sz="0" w:space="0" w:color="auto"/>
        <w:right w:val="none" w:sz="0" w:space="0" w:color="auto"/>
      </w:divBdr>
      <w:divsChild>
        <w:div w:id="365913060">
          <w:marLeft w:val="0"/>
          <w:marRight w:val="0"/>
          <w:marTop w:val="0"/>
          <w:marBottom w:val="0"/>
          <w:divBdr>
            <w:top w:val="none" w:sz="0" w:space="0" w:color="auto"/>
            <w:left w:val="none" w:sz="0" w:space="0" w:color="auto"/>
            <w:bottom w:val="none" w:sz="0" w:space="0" w:color="auto"/>
            <w:right w:val="none" w:sz="0" w:space="0" w:color="auto"/>
          </w:divBdr>
          <w:divsChild>
            <w:div w:id="854464898">
              <w:marLeft w:val="0"/>
              <w:marRight w:val="0"/>
              <w:marTop w:val="180"/>
              <w:marBottom w:val="180"/>
              <w:divBdr>
                <w:top w:val="none" w:sz="0" w:space="0" w:color="auto"/>
                <w:left w:val="none" w:sz="0" w:space="0" w:color="auto"/>
                <w:bottom w:val="none" w:sz="0" w:space="0" w:color="auto"/>
                <w:right w:val="none" w:sz="0" w:space="0" w:color="auto"/>
              </w:divBdr>
            </w:div>
          </w:divsChild>
        </w:div>
        <w:div w:id="1230114417">
          <w:marLeft w:val="0"/>
          <w:marRight w:val="0"/>
          <w:marTop w:val="0"/>
          <w:marBottom w:val="0"/>
          <w:divBdr>
            <w:top w:val="none" w:sz="0" w:space="0" w:color="auto"/>
            <w:left w:val="none" w:sz="0" w:space="0" w:color="auto"/>
            <w:bottom w:val="none" w:sz="0" w:space="0" w:color="auto"/>
            <w:right w:val="none" w:sz="0" w:space="0" w:color="auto"/>
          </w:divBdr>
          <w:divsChild>
            <w:div w:id="560948847">
              <w:marLeft w:val="0"/>
              <w:marRight w:val="0"/>
              <w:marTop w:val="0"/>
              <w:marBottom w:val="0"/>
              <w:divBdr>
                <w:top w:val="none" w:sz="0" w:space="0" w:color="auto"/>
                <w:left w:val="none" w:sz="0" w:space="0" w:color="auto"/>
                <w:bottom w:val="none" w:sz="0" w:space="0" w:color="auto"/>
                <w:right w:val="none" w:sz="0" w:space="0" w:color="auto"/>
              </w:divBdr>
              <w:divsChild>
                <w:div w:id="298193542">
                  <w:marLeft w:val="0"/>
                  <w:marRight w:val="0"/>
                  <w:marTop w:val="0"/>
                  <w:marBottom w:val="0"/>
                  <w:divBdr>
                    <w:top w:val="none" w:sz="0" w:space="0" w:color="auto"/>
                    <w:left w:val="none" w:sz="0" w:space="0" w:color="auto"/>
                    <w:bottom w:val="none" w:sz="0" w:space="0" w:color="auto"/>
                    <w:right w:val="none" w:sz="0" w:space="0" w:color="auto"/>
                  </w:divBdr>
                  <w:divsChild>
                    <w:div w:id="204414318">
                      <w:marLeft w:val="0"/>
                      <w:marRight w:val="0"/>
                      <w:marTop w:val="0"/>
                      <w:marBottom w:val="0"/>
                      <w:divBdr>
                        <w:top w:val="none" w:sz="0" w:space="0" w:color="auto"/>
                        <w:left w:val="none" w:sz="0" w:space="0" w:color="auto"/>
                        <w:bottom w:val="none" w:sz="0" w:space="0" w:color="auto"/>
                        <w:right w:val="none" w:sz="0" w:space="0" w:color="auto"/>
                      </w:divBdr>
                      <w:divsChild>
                        <w:div w:id="520051832">
                          <w:marLeft w:val="0"/>
                          <w:marRight w:val="0"/>
                          <w:marTop w:val="0"/>
                          <w:marBottom w:val="0"/>
                          <w:divBdr>
                            <w:top w:val="none" w:sz="0" w:space="0" w:color="auto"/>
                            <w:left w:val="none" w:sz="0" w:space="0" w:color="auto"/>
                            <w:bottom w:val="none" w:sz="0" w:space="0" w:color="auto"/>
                            <w:right w:val="none" w:sz="0" w:space="0" w:color="auto"/>
                          </w:divBdr>
                          <w:divsChild>
                            <w:div w:id="118197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8774942">
      <w:bodyDiv w:val="1"/>
      <w:marLeft w:val="0"/>
      <w:marRight w:val="0"/>
      <w:marTop w:val="0"/>
      <w:marBottom w:val="0"/>
      <w:divBdr>
        <w:top w:val="none" w:sz="0" w:space="0" w:color="auto"/>
        <w:left w:val="none" w:sz="0" w:space="0" w:color="auto"/>
        <w:bottom w:val="none" w:sz="0" w:space="0" w:color="auto"/>
        <w:right w:val="none" w:sz="0" w:space="0" w:color="auto"/>
      </w:divBdr>
    </w:div>
    <w:div w:id="722951876">
      <w:bodyDiv w:val="1"/>
      <w:marLeft w:val="0"/>
      <w:marRight w:val="0"/>
      <w:marTop w:val="0"/>
      <w:marBottom w:val="0"/>
      <w:divBdr>
        <w:top w:val="none" w:sz="0" w:space="0" w:color="auto"/>
        <w:left w:val="none" w:sz="0" w:space="0" w:color="auto"/>
        <w:bottom w:val="none" w:sz="0" w:space="0" w:color="auto"/>
        <w:right w:val="none" w:sz="0" w:space="0" w:color="auto"/>
      </w:divBdr>
      <w:divsChild>
        <w:div w:id="1111625994">
          <w:marLeft w:val="0"/>
          <w:marRight w:val="0"/>
          <w:marTop w:val="0"/>
          <w:marBottom w:val="0"/>
          <w:divBdr>
            <w:top w:val="none" w:sz="0" w:space="0" w:color="auto"/>
            <w:left w:val="none" w:sz="0" w:space="0" w:color="auto"/>
            <w:bottom w:val="none" w:sz="0" w:space="0" w:color="auto"/>
            <w:right w:val="none" w:sz="0" w:space="0" w:color="auto"/>
          </w:divBdr>
          <w:divsChild>
            <w:div w:id="833106789">
              <w:marLeft w:val="0"/>
              <w:marRight w:val="0"/>
              <w:marTop w:val="180"/>
              <w:marBottom w:val="180"/>
              <w:divBdr>
                <w:top w:val="none" w:sz="0" w:space="0" w:color="auto"/>
                <w:left w:val="none" w:sz="0" w:space="0" w:color="auto"/>
                <w:bottom w:val="none" w:sz="0" w:space="0" w:color="auto"/>
                <w:right w:val="none" w:sz="0" w:space="0" w:color="auto"/>
              </w:divBdr>
            </w:div>
          </w:divsChild>
        </w:div>
        <w:div w:id="267852036">
          <w:marLeft w:val="0"/>
          <w:marRight w:val="0"/>
          <w:marTop w:val="0"/>
          <w:marBottom w:val="0"/>
          <w:divBdr>
            <w:top w:val="none" w:sz="0" w:space="0" w:color="auto"/>
            <w:left w:val="none" w:sz="0" w:space="0" w:color="auto"/>
            <w:bottom w:val="none" w:sz="0" w:space="0" w:color="auto"/>
            <w:right w:val="none" w:sz="0" w:space="0" w:color="auto"/>
          </w:divBdr>
          <w:divsChild>
            <w:div w:id="821043626">
              <w:marLeft w:val="0"/>
              <w:marRight w:val="0"/>
              <w:marTop w:val="0"/>
              <w:marBottom w:val="0"/>
              <w:divBdr>
                <w:top w:val="none" w:sz="0" w:space="0" w:color="auto"/>
                <w:left w:val="none" w:sz="0" w:space="0" w:color="auto"/>
                <w:bottom w:val="none" w:sz="0" w:space="0" w:color="auto"/>
                <w:right w:val="none" w:sz="0" w:space="0" w:color="auto"/>
              </w:divBdr>
              <w:divsChild>
                <w:div w:id="549852876">
                  <w:marLeft w:val="0"/>
                  <w:marRight w:val="0"/>
                  <w:marTop w:val="0"/>
                  <w:marBottom w:val="0"/>
                  <w:divBdr>
                    <w:top w:val="none" w:sz="0" w:space="0" w:color="auto"/>
                    <w:left w:val="none" w:sz="0" w:space="0" w:color="auto"/>
                    <w:bottom w:val="none" w:sz="0" w:space="0" w:color="auto"/>
                    <w:right w:val="none" w:sz="0" w:space="0" w:color="auto"/>
                  </w:divBdr>
                  <w:divsChild>
                    <w:div w:id="1394888463">
                      <w:marLeft w:val="0"/>
                      <w:marRight w:val="0"/>
                      <w:marTop w:val="0"/>
                      <w:marBottom w:val="0"/>
                      <w:divBdr>
                        <w:top w:val="none" w:sz="0" w:space="0" w:color="auto"/>
                        <w:left w:val="none" w:sz="0" w:space="0" w:color="auto"/>
                        <w:bottom w:val="none" w:sz="0" w:space="0" w:color="auto"/>
                        <w:right w:val="none" w:sz="0" w:space="0" w:color="auto"/>
                      </w:divBdr>
                      <w:divsChild>
                        <w:div w:id="1415471013">
                          <w:marLeft w:val="0"/>
                          <w:marRight w:val="0"/>
                          <w:marTop w:val="0"/>
                          <w:marBottom w:val="0"/>
                          <w:divBdr>
                            <w:top w:val="none" w:sz="0" w:space="0" w:color="auto"/>
                            <w:left w:val="none" w:sz="0" w:space="0" w:color="auto"/>
                            <w:bottom w:val="none" w:sz="0" w:space="0" w:color="auto"/>
                            <w:right w:val="none" w:sz="0" w:space="0" w:color="auto"/>
                          </w:divBdr>
                          <w:divsChild>
                            <w:div w:id="1212618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4851581">
      <w:bodyDiv w:val="1"/>
      <w:marLeft w:val="0"/>
      <w:marRight w:val="0"/>
      <w:marTop w:val="0"/>
      <w:marBottom w:val="0"/>
      <w:divBdr>
        <w:top w:val="none" w:sz="0" w:space="0" w:color="auto"/>
        <w:left w:val="none" w:sz="0" w:space="0" w:color="auto"/>
        <w:bottom w:val="none" w:sz="0" w:space="0" w:color="auto"/>
        <w:right w:val="none" w:sz="0" w:space="0" w:color="auto"/>
      </w:divBdr>
    </w:div>
    <w:div w:id="1093281918">
      <w:bodyDiv w:val="1"/>
      <w:marLeft w:val="0"/>
      <w:marRight w:val="0"/>
      <w:marTop w:val="0"/>
      <w:marBottom w:val="0"/>
      <w:divBdr>
        <w:top w:val="none" w:sz="0" w:space="0" w:color="auto"/>
        <w:left w:val="none" w:sz="0" w:space="0" w:color="auto"/>
        <w:bottom w:val="none" w:sz="0" w:space="0" w:color="auto"/>
        <w:right w:val="none" w:sz="0" w:space="0" w:color="auto"/>
      </w:divBdr>
    </w:div>
    <w:div w:id="1261910834">
      <w:bodyDiv w:val="1"/>
      <w:marLeft w:val="0"/>
      <w:marRight w:val="0"/>
      <w:marTop w:val="0"/>
      <w:marBottom w:val="0"/>
      <w:divBdr>
        <w:top w:val="none" w:sz="0" w:space="0" w:color="auto"/>
        <w:left w:val="none" w:sz="0" w:space="0" w:color="auto"/>
        <w:bottom w:val="none" w:sz="0" w:space="0" w:color="auto"/>
        <w:right w:val="none" w:sz="0" w:space="0" w:color="auto"/>
      </w:divBdr>
      <w:divsChild>
        <w:div w:id="1841851574">
          <w:marLeft w:val="2854"/>
          <w:marRight w:val="2854"/>
          <w:marTop w:val="856"/>
          <w:marBottom w:val="856"/>
          <w:divBdr>
            <w:top w:val="none" w:sz="0" w:space="0" w:color="auto"/>
            <w:left w:val="none" w:sz="0" w:space="0" w:color="auto"/>
            <w:bottom w:val="none" w:sz="0" w:space="0" w:color="auto"/>
            <w:right w:val="none" w:sz="0" w:space="0" w:color="auto"/>
          </w:divBdr>
          <w:divsChild>
            <w:div w:id="1543250449">
              <w:marLeft w:val="0"/>
              <w:marRight w:val="0"/>
              <w:marTop w:val="0"/>
              <w:marBottom w:val="0"/>
              <w:divBdr>
                <w:top w:val="none" w:sz="0" w:space="0" w:color="auto"/>
                <w:left w:val="none" w:sz="0" w:space="0" w:color="auto"/>
                <w:bottom w:val="none" w:sz="0" w:space="0" w:color="auto"/>
                <w:right w:val="none" w:sz="0" w:space="0" w:color="auto"/>
              </w:divBdr>
              <w:divsChild>
                <w:div w:id="778909095">
                  <w:marLeft w:val="0"/>
                  <w:marRight w:val="0"/>
                  <w:marTop w:val="0"/>
                  <w:marBottom w:val="0"/>
                  <w:divBdr>
                    <w:top w:val="none" w:sz="0" w:space="0" w:color="auto"/>
                    <w:left w:val="none" w:sz="0" w:space="0" w:color="auto"/>
                    <w:bottom w:val="none" w:sz="0" w:space="0" w:color="auto"/>
                    <w:right w:val="none" w:sz="0" w:space="0" w:color="auto"/>
                  </w:divBdr>
                  <w:divsChild>
                    <w:div w:id="797996692">
                      <w:marLeft w:val="0"/>
                      <w:marRight w:val="0"/>
                      <w:marTop w:val="0"/>
                      <w:marBottom w:val="0"/>
                      <w:divBdr>
                        <w:top w:val="none" w:sz="0" w:space="0" w:color="auto"/>
                        <w:left w:val="none" w:sz="0" w:space="0" w:color="auto"/>
                        <w:bottom w:val="none" w:sz="0" w:space="0" w:color="auto"/>
                        <w:right w:val="none" w:sz="0" w:space="0" w:color="auto"/>
                      </w:divBdr>
                      <w:divsChild>
                        <w:div w:id="1588879151">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3225507">
      <w:bodyDiv w:val="1"/>
      <w:marLeft w:val="0"/>
      <w:marRight w:val="0"/>
      <w:marTop w:val="0"/>
      <w:marBottom w:val="0"/>
      <w:divBdr>
        <w:top w:val="none" w:sz="0" w:space="0" w:color="auto"/>
        <w:left w:val="none" w:sz="0" w:space="0" w:color="auto"/>
        <w:bottom w:val="none" w:sz="0" w:space="0" w:color="auto"/>
        <w:right w:val="none" w:sz="0" w:space="0" w:color="auto"/>
      </w:divBdr>
      <w:divsChild>
        <w:div w:id="325790500">
          <w:marLeft w:val="0"/>
          <w:marRight w:val="0"/>
          <w:marTop w:val="0"/>
          <w:marBottom w:val="0"/>
          <w:divBdr>
            <w:top w:val="none" w:sz="0" w:space="0" w:color="auto"/>
            <w:left w:val="none" w:sz="0" w:space="0" w:color="auto"/>
            <w:bottom w:val="none" w:sz="0" w:space="0" w:color="auto"/>
            <w:right w:val="none" w:sz="0" w:space="0" w:color="auto"/>
          </w:divBdr>
        </w:div>
        <w:div w:id="571962411">
          <w:marLeft w:val="0"/>
          <w:marRight w:val="0"/>
          <w:marTop w:val="0"/>
          <w:marBottom w:val="0"/>
          <w:divBdr>
            <w:top w:val="none" w:sz="0" w:space="0" w:color="auto"/>
            <w:left w:val="none" w:sz="0" w:space="0" w:color="auto"/>
            <w:bottom w:val="none" w:sz="0" w:space="0" w:color="auto"/>
            <w:right w:val="none" w:sz="0" w:space="0" w:color="auto"/>
          </w:divBdr>
        </w:div>
      </w:divsChild>
    </w:div>
    <w:div w:id="1314796679">
      <w:bodyDiv w:val="1"/>
      <w:marLeft w:val="0"/>
      <w:marRight w:val="0"/>
      <w:marTop w:val="0"/>
      <w:marBottom w:val="0"/>
      <w:divBdr>
        <w:top w:val="none" w:sz="0" w:space="0" w:color="auto"/>
        <w:left w:val="none" w:sz="0" w:space="0" w:color="auto"/>
        <w:bottom w:val="none" w:sz="0" w:space="0" w:color="auto"/>
        <w:right w:val="none" w:sz="0" w:space="0" w:color="auto"/>
      </w:divBdr>
      <w:divsChild>
        <w:div w:id="234360812">
          <w:marLeft w:val="0"/>
          <w:marRight w:val="0"/>
          <w:marTop w:val="0"/>
          <w:marBottom w:val="0"/>
          <w:divBdr>
            <w:top w:val="none" w:sz="0" w:space="0" w:color="auto"/>
            <w:left w:val="none" w:sz="0" w:space="0" w:color="auto"/>
            <w:bottom w:val="none" w:sz="0" w:space="0" w:color="auto"/>
            <w:right w:val="none" w:sz="0" w:space="0" w:color="auto"/>
          </w:divBdr>
        </w:div>
        <w:div w:id="927469327">
          <w:marLeft w:val="0"/>
          <w:marRight w:val="0"/>
          <w:marTop w:val="0"/>
          <w:marBottom w:val="0"/>
          <w:divBdr>
            <w:top w:val="none" w:sz="0" w:space="0" w:color="auto"/>
            <w:left w:val="none" w:sz="0" w:space="0" w:color="auto"/>
            <w:bottom w:val="none" w:sz="0" w:space="0" w:color="auto"/>
            <w:right w:val="none" w:sz="0" w:space="0" w:color="auto"/>
          </w:divBdr>
        </w:div>
      </w:divsChild>
    </w:div>
    <w:div w:id="1543977236">
      <w:bodyDiv w:val="1"/>
      <w:marLeft w:val="0"/>
      <w:marRight w:val="0"/>
      <w:marTop w:val="0"/>
      <w:marBottom w:val="0"/>
      <w:divBdr>
        <w:top w:val="none" w:sz="0" w:space="0" w:color="auto"/>
        <w:left w:val="none" w:sz="0" w:space="0" w:color="auto"/>
        <w:bottom w:val="none" w:sz="0" w:space="0" w:color="auto"/>
        <w:right w:val="none" w:sz="0" w:space="0" w:color="auto"/>
      </w:divBdr>
      <w:divsChild>
        <w:div w:id="1677150663">
          <w:marLeft w:val="2854"/>
          <w:marRight w:val="2854"/>
          <w:marTop w:val="856"/>
          <w:marBottom w:val="856"/>
          <w:divBdr>
            <w:top w:val="none" w:sz="0" w:space="0" w:color="auto"/>
            <w:left w:val="none" w:sz="0" w:space="0" w:color="auto"/>
            <w:bottom w:val="none" w:sz="0" w:space="0" w:color="auto"/>
            <w:right w:val="none" w:sz="0" w:space="0" w:color="auto"/>
          </w:divBdr>
          <w:divsChild>
            <w:div w:id="633874280">
              <w:marLeft w:val="0"/>
              <w:marRight w:val="0"/>
              <w:marTop w:val="0"/>
              <w:marBottom w:val="0"/>
              <w:divBdr>
                <w:top w:val="none" w:sz="0" w:space="0" w:color="auto"/>
                <w:left w:val="none" w:sz="0" w:space="0" w:color="auto"/>
                <w:bottom w:val="none" w:sz="0" w:space="0" w:color="auto"/>
                <w:right w:val="none" w:sz="0" w:space="0" w:color="auto"/>
              </w:divBdr>
              <w:divsChild>
                <w:div w:id="191578648">
                  <w:marLeft w:val="0"/>
                  <w:marRight w:val="0"/>
                  <w:marTop w:val="0"/>
                  <w:marBottom w:val="0"/>
                  <w:divBdr>
                    <w:top w:val="none" w:sz="0" w:space="0" w:color="auto"/>
                    <w:left w:val="none" w:sz="0" w:space="0" w:color="auto"/>
                    <w:bottom w:val="none" w:sz="0" w:space="0" w:color="auto"/>
                    <w:right w:val="none" w:sz="0" w:space="0" w:color="auto"/>
                  </w:divBdr>
                  <w:divsChild>
                    <w:div w:id="1790393885">
                      <w:marLeft w:val="0"/>
                      <w:marRight w:val="0"/>
                      <w:marTop w:val="0"/>
                      <w:marBottom w:val="0"/>
                      <w:divBdr>
                        <w:top w:val="none" w:sz="0" w:space="0" w:color="auto"/>
                        <w:left w:val="none" w:sz="0" w:space="0" w:color="auto"/>
                        <w:bottom w:val="none" w:sz="0" w:space="0" w:color="auto"/>
                        <w:right w:val="none" w:sz="0" w:space="0" w:color="auto"/>
                      </w:divBdr>
                      <w:divsChild>
                        <w:div w:id="775711037">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6155771">
      <w:bodyDiv w:val="1"/>
      <w:marLeft w:val="0"/>
      <w:marRight w:val="0"/>
      <w:marTop w:val="0"/>
      <w:marBottom w:val="0"/>
      <w:divBdr>
        <w:top w:val="none" w:sz="0" w:space="0" w:color="auto"/>
        <w:left w:val="none" w:sz="0" w:space="0" w:color="auto"/>
        <w:bottom w:val="none" w:sz="0" w:space="0" w:color="auto"/>
        <w:right w:val="none" w:sz="0" w:space="0" w:color="auto"/>
      </w:divBdr>
    </w:div>
    <w:div w:id="1717657865">
      <w:bodyDiv w:val="1"/>
      <w:marLeft w:val="0"/>
      <w:marRight w:val="0"/>
      <w:marTop w:val="0"/>
      <w:marBottom w:val="0"/>
      <w:divBdr>
        <w:top w:val="none" w:sz="0" w:space="0" w:color="auto"/>
        <w:left w:val="none" w:sz="0" w:space="0" w:color="auto"/>
        <w:bottom w:val="none" w:sz="0" w:space="0" w:color="auto"/>
        <w:right w:val="none" w:sz="0" w:space="0" w:color="auto"/>
      </w:divBdr>
    </w:div>
    <w:div w:id="1847860662">
      <w:bodyDiv w:val="1"/>
      <w:marLeft w:val="0"/>
      <w:marRight w:val="0"/>
      <w:marTop w:val="0"/>
      <w:marBottom w:val="0"/>
      <w:divBdr>
        <w:top w:val="none" w:sz="0" w:space="0" w:color="auto"/>
        <w:left w:val="none" w:sz="0" w:space="0" w:color="auto"/>
        <w:bottom w:val="none" w:sz="0" w:space="0" w:color="auto"/>
        <w:right w:val="none" w:sz="0" w:space="0" w:color="auto"/>
      </w:divBdr>
    </w:div>
    <w:div w:id="1860700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www.nationalccrs.org/organizations/nocti-and-nocti-business"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FCACEEB155724FB7F325F8D080C314" ma:contentTypeVersion="15" ma:contentTypeDescription="Create a new document." ma:contentTypeScope="" ma:versionID="3eb93cfe11fae6fa2c26b2baa2219fb1">
  <xsd:schema xmlns:xsd="http://www.w3.org/2001/XMLSchema" xmlns:xs="http://www.w3.org/2001/XMLSchema" xmlns:p="http://schemas.microsoft.com/office/2006/metadata/properties" xmlns:ns2="2fc6ed6b-29f1-4417-ac9c-0d738c4b0572" xmlns:ns3="d0d8698c-f527-4caa-8f65-6c178983e7de" targetNamespace="http://schemas.microsoft.com/office/2006/metadata/properties" ma:root="true" ma:fieldsID="55f00d0d5e2fabbea725735477f25cd4" ns2:_="" ns3:_="">
    <xsd:import namespace="2fc6ed6b-29f1-4417-ac9c-0d738c4b0572"/>
    <xsd:import namespace="d0d8698c-f527-4caa-8f65-6c178983e7d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c6ed6b-29f1-4417-ac9c-0d738c4b05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95a9afa-61c7-4e96-8bec-901bd188774b"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0d8698c-f527-4caa-8f65-6c178983e7d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fc6ed6b-29f1-4417-ac9c-0d738c4b0572">
      <Terms xmlns="http://schemas.microsoft.com/office/infopath/2007/PartnerControls"/>
    </lcf76f155ced4ddcb4097134ff3c332f>
    <SharedWithUsers xmlns="d0d8698c-f527-4caa-8f65-6c178983e7de">
      <UserInfo>
        <DisplayName>Swearingen, Jodie L</DisplayName>
        <AccountId>10</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1B20A5-4D9C-43E6-B19D-0356DE96B0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c6ed6b-29f1-4417-ac9c-0d738c4b0572"/>
    <ds:schemaRef ds:uri="d0d8698c-f527-4caa-8f65-6c178983e7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E7A487-EEF9-45D9-B8E4-E925E78F4419}">
  <ds:schemaRefs>
    <ds:schemaRef ds:uri="http://schemas.microsoft.com/office/2006/metadata/properties"/>
    <ds:schemaRef ds:uri="http://schemas.microsoft.com/office/infopath/2007/PartnerControls"/>
    <ds:schemaRef ds:uri="2fc6ed6b-29f1-4417-ac9c-0d738c4b0572"/>
    <ds:schemaRef ds:uri="d0d8698c-f527-4caa-8f65-6c178983e7de"/>
  </ds:schemaRefs>
</ds:datastoreItem>
</file>

<file path=customXml/itemProps3.xml><?xml version="1.0" encoding="utf-8"?>
<ds:datastoreItem xmlns:ds="http://schemas.openxmlformats.org/officeDocument/2006/customXml" ds:itemID="{36A00033-374F-4B63-BADE-51CF88CCD68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1738</Words>
  <Characters>11177</Characters>
  <Application>Microsoft Office Word</Application>
  <DocSecurity>0</DocSecurity>
  <Lines>223</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Swearingen, Jodie L</dc:creator>
  <cp:keywords/>
  <dc:description/>
  <cp:lastModifiedBy>Swearingen, Jodie L</cp:lastModifiedBy>
  <cp:revision>248</cp:revision>
  <dcterms:created xsi:type="dcterms:W3CDTF">2022-06-21T15:47:00Z</dcterms:created>
  <dcterms:modified xsi:type="dcterms:W3CDTF">2026-03-03T16:51:00Z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0x010100F7FCACEEB155724FB7F325F8D080C314</vt:lpwstr>
  </property>
  <property fmtid="{D5CDD505-2E9C-101B-9397-08002B2CF9AE}" pid="3" name="xd_Signature">
    <vt:bool>false</vt:bool>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MediaServiceImageTags">
    <vt:lpwstr/>
  </property>
  <property fmtid="{D5CDD505-2E9C-101B-9397-08002B2CF9AE}" pid="10" name="GrammarlyDocumentId">
    <vt:lpwstr>715924280e322601d98898567d069767e8904a40357fadf97ebd80660ed0030f</vt:lpwstr>
  </property>
</Properties>
</file>