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F3" w:rsidRPr="000936CB" w:rsidRDefault="002007F3" w:rsidP="00952D17">
      <w:pPr>
        <w:pStyle w:val="Heading1"/>
      </w:pPr>
      <w:r>
        <w:t>C</w:t>
      </w:r>
      <w:r w:rsidRPr="000936CB">
        <w:t>onsortium Levels of Performance*</w:t>
      </w:r>
    </w:p>
    <w:p w:rsidR="002007F3" w:rsidRDefault="002007F3" w:rsidP="00F752AF">
      <w:pPr>
        <w:pStyle w:val="Heading2"/>
      </w:pPr>
      <w:r w:rsidRPr="007625FB">
        <w:t xml:space="preserve">Perkins V Consortium: </w:t>
      </w:r>
      <w:r w:rsidRPr="00516879">
        <w:t>South Central</w:t>
      </w:r>
    </w:p>
    <w:p w:rsidR="002007F3" w:rsidRPr="007858C9" w:rsidRDefault="002007F3" w:rsidP="0006393E">
      <w:pPr>
        <w:spacing w:after="120"/>
        <w:jc w:val="center"/>
      </w:pPr>
      <w:r>
        <w:rPr>
          <w:sz w:val="24"/>
          <w:szCs w:val="24"/>
        </w:rPr>
        <w:t>12</w:t>
      </w:r>
      <w:r w:rsidRPr="00DA319B">
        <w:rPr>
          <w:sz w:val="24"/>
          <w:szCs w:val="24"/>
        </w:rPr>
        <w:t>/</w:t>
      </w:r>
      <w:r>
        <w:rPr>
          <w:sz w:val="24"/>
          <w:szCs w:val="24"/>
        </w:rPr>
        <w:t>20</w:t>
      </w:r>
      <w:r w:rsidRPr="00DA319B">
        <w:rPr>
          <w:sz w:val="24"/>
          <w:szCs w:val="24"/>
        </w:rPr>
        <w:t>/2019</w:t>
      </w:r>
    </w:p>
    <w:p w:rsidR="002007F3" w:rsidRPr="00DA319B" w:rsidRDefault="002007F3" w:rsidP="0006393E">
      <w:pPr>
        <w:spacing w:before="120" w:after="0" w:line="240" w:lineRule="auto"/>
        <w:jc w:val="center"/>
        <w:rPr>
          <w:sz w:val="24"/>
          <w:szCs w:val="24"/>
        </w:rPr>
      </w:pPr>
      <w:r w:rsidRPr="007E3092">
        <w:rPr>
          <w:b/>
          <w:bCs/>
          <w:sz w:val="26"/>
          <w:szCs w:val="26"/>
        </w:rPr>
        <w:t>State Determined Consortium Levels of Performance</w:t>
      </w:r>
      <w:r>
        <w:rPr>
          <w:b/>
          <w:bCs/>
          <w:sz w:val="26"/>
          <w:szCs w:val="26"/>
        </w:rPr>
        <w:t xml:space="preserve">: </w:t>
      </w:r>
      <w:r>
        <w:rPr>
          <w:b/>
          <w:sz w:val="26"/>
          <w:szCs w:val="26"/>
        </w:rPr>
        <w:t>Grant Years 2021-2024</w:t>
      </w:r>
    </w:p>
    <w:tbl>
      <w:tblPr>
        <w:tblStyle w:val="TableGrid"/>
        <w:tblW w:w="11106" w:type="dxa"/>
        <w:tblInd w:w="1975" w:type="dxa"/>
        <w:tblLook w:val="04A0" w:firstRow="1" w:lastRow="0" w:firstColumn="1" w:lastColumn="0" w:noHBand="0" w:noVBand="1"/>
        <w:tblCaption w:val="Consortium Levels of Performance"/>
        <w:tblDescription w:val="This table includes consortium levels of performance for all indicators for all four grant years."/>
      </w:tblPr>
      <w:tblGrid>
        <w:gridCol w:w="4770"/>
        <w:gridCol w:w="1440"/>
        <w:gridCol w:w="1632"/>
        <w:gridCol w:w="1632"/>
        <w:gridCol w:w="1632"/>
      </w:tblGrid>
      <w:tr w:rsidR="002007F3" w:rsidTr="004233F1">
        <w:trPr>
          <w:tblHeader/>
        </w:trPr>
        <w:tc>
          <w:tcPr>
            <w:tcW w:w="4770" w:type="dxa"/>
          </w:tcPr>
          <w:p w:rsidR="002007F3" w:rsidRPr="00EF1669" w:rsidRDefault="002007F3" w:rsidP="00EF1669">
            <w:pPr>
              <w:jc w:val="center"/>
              <w:rPr>
                <w:b/>
              </w:rPr>
            </w:pPr>
            <w:r w:rsidRPr="00EF1669">
              <w:rPr>
                <w:b/>
              </w:rPr>
              <w:t>Indicator</w:t>
            </w:r>
            <w:r>
              <w:rPr>
                <w:b/>
              </w:rPr>
              <w:t xml:space="preserve"> Name</w:t>
            </w:r>
          </w:p>
        </w:tc>
        <w:tc>
          <w:tcPr>
            <w:tcW w:w="1440" w:type="dxa"/>
          </w:tcPr>
          <w:p w:rsidR="002007F3" w:rsidRPr="00EF1669" w:rsidRDefault="002007F3" w:rsidP="00EF1669">
            <w:pPr>
              <w:jc w:val="center"/>
              <w:rPr>
                <w:b/>
              </w:rPr>
            </w:pPr>
            <w:r w:rsidRPr="00EF1669">
              <w:rPr>
                <w:b/>
              </w:rPr>
              <w:t>Grant Y</w:t>
            </w:r>
            <w:bookmarkStart w:id="0" w:name="_GoBack"/>
            <w:bookmarkEnd w:id="0"/>
            <w:r w:rsidRPr="00EF1669">
              <w:rPr>
                <w:b/>
              </w:rPr>
              <w:t>ear 1</w:t>
            </w:r>
          </w:p>
        </w:tc>
        <w:tc>
          <w:tcPr>
            <w:tcW w:w="1632" w:type="dxa"/>
          </w:tcPr>
          <w:p w:rsidR="002007F3" w:rsidRPr="00EF1669" w:rsidRDefault="002007F3" w:rsidP="00EF1669">
            <w:pPr>
              <w:jc w:val="center"/>
              <w:rPr>
                <w:b/>
              </w:rPr>
            </w:pPr>
            <w:r w:rsidRPr="00EF1669">
              <w:rPr>
                <w:b/>
              </w:rPr>
              <w:t>Grant Year 2</w:t>
            </w:r>
          </w:p>
        </w:tc>
        <w:tc>
          <w:tcPr>
            <w:tcW w:w="1632" w:type="dxa"/>
          </w:tcPr>
          <w:p w:rsidR="002007F3" w:rsidRPr="00EF1669" w:rsidRDefault="002007F3" w:rsidP="00EF1669">
            <w:pPr>
              <w:jc w:val="center"/>
              <w:rPr>
                <w:b/>
              </w:rPr>
            </w:pPr>
            <w:r w:rsidRPr="00EF1669">
              <w:rPr>
                <w:b/>
              </w:rPr>
              <w:t>Grant Year 3</w:t>
            </w:r>
          </w:p>
        </w:tc>
        <w:tc>
          <w:tcPr>
            <w:tcW w:w="1632" w:type="dxa"/>
          </w:tcPr>
          <w:p w:rsidR="002007F3" w:rsidRPr="00EF1669" w:rsidRDefault="002007F3" w:rsidP="00EF1669">
            <w:pPr>
              <w:jc w:val="center"/>
              <w:rPr>
                <w:b/>
              </w:rPr>
            </w:pPr>
            <w:r w:rsidRPr="00EF1669">
              <w:rPr>
                <w:b/>
              </w:rPr>
              <w:t>Grant Year 4</w:t>
            </w:r>
          </w:p>
        </w:tc>
      </w:tr>
      <w:tr w:rsidR="002007F3" w:rsidTr="004233F1">
        <w:trPr>
          <w:tblHeader/>
        </w:trPr>
        <w:tc>
          <w:tcPr>
            <w:tcW w:w="4770" w:type="dxa"/>
          </w:tcPr>
          <w:p w:rsidR="002007F3" w:rsidRDefault="002007F3" w:rsidP="00890499">
            <w:pPr>
              <w:rPr>
                <w:rFonts w:ascii="Calibri" w:hAnsi="Calibri" w:cs="Calibri"/>
                <w:color w:val="000000"/>
              </w:rPr>
            </w:pPr>
            <w:r>
              <w:rPr>
                <w:rFonts w:ascii="Calibri" w:hAnsi="Calibri" w:cs="Calibri"/>
                <w:color w:val="000000"/>
              </w:rPr>
              <w:t>1S1: Graduation Rate (4-year)</w:t>
            </w:r>
          </w:p>
        </w:tc>
        <w:tc>
          <w:tcPr>
            <w:tcW w:w="1440" w:type="dxa"/>
          </w:tcPr>
          <w:p w:rsidR="002007F3" w:rsidRDefault="002007F3" w:rsidP="00890499">
            <w:pPr>
              <w:jc w:val="right"/>
            </w:pPr>
            <w:r>
              <w:rPr>
                <w:noProof/>
              </w:rPr>
              <w:t>93.76%</w:t>
            </w:r>
          </w:p>
        </w:tc>
        <w:tc>
          <w:tcPr>
            <w:tcW w:w="1632" w:type="dxa"/>
          </w:tcPr>
          <w:p w:rsidR="002007F3" w:rsidRDefault="002007F3" w:rsidP="00890499">
            <w:pPr>
              <w:jc w:val="right"/>
            </w:pPr>
            <w:r>
              <w:rPr>
                <w:noProof/>
              </w:rPr>
              <w:t>93.99%</w:t>
            </w:r>
          </w:p>
        </w:tc>
        <w:tc>
          <w:tcPr>
            <w:tcW w:w="1632" w:type="dxa"/>
          </w:tcPr>
          <w:p w:rsidR="002007F3" w:rsidRDefault="002007F3" w:rsidP="00890499">
            <w:pPr>
              <w:jc w:val="right"/>
            </w:pPr>
            <w:r>
              <w:rPr>
                <w:noProof/>
              </w:rPr>
              <w:t>94.45%</w:t>
            </w:r>
          </w:p>
        </w:tc>
        <w:tc>
          <w:tcPr>
            <w:tcW w:w="1632" w:type="dxa"/>
          </w:tcPr>
          <w:p w:rsidR="002007F3" w:rsidRDefault="002007F3" w:rsidP="00890499">
            <w:pPr>
              <w:jc w:val="right"/>
            </w:pPr>
            <w:r>
              <w:rPr>
                <w:noProof/>
              </w:rPr>
              <w:t>95.37%</w:t>
            </w:r>
          </w:p>
        </w:tc>
      </w:tr>
      <w:tr w:rsidR="002007F3" w:rsidTr="004233F1">
        <w:trPr>
          <w:tblHeader/>
        </w:trPr>
        <w:tc>
          <w:tcPr>
            <w:tcW w:w="4770" w:type="dxa"/>
          </w:tcPr>
          <w:p w:rsidR="002007F3" w:rsidRDefault="002007F3" w:rsidP="00890499">
            <w:pPr>
              <w:rPr>
                <w:rFonts w:ascii="Calibri" w:hAnsi="Calibri" w:cs="Calibri"/>
                <w:color w:val="000000"/>
              </w:rPr>
            </w:pPr>
            <w:r>
              <w:rPr>
                <w:rFonts w:ascii="Calibri" w:hAnsi="Calibri" w:cs="Calibri"/>
                <w:color w:val="000000"/>
              </w:rPr>
              <w:t>2S1: Academic Proficiency: Reading/Language Arts</w:t>
            </w:r>
          </w:p>
        </w:tc>
        <w:tc>
          <w:tcPr>
            <w:tcW w:w="1440" w:type="dxa"/>
          </w:tcPr>
          <w:p w:rsidR="002007F3" w:rsidRDefault="002007F3" w:rsidP="00890499">
            <w:pPr>
              <w:jc w:val="right"/>
            </w:pPr>
            <w:r>
              <w:rPr>
                <w:noProof/>
              </w:rPr>
              <w:t>53.65%</w:t>
            </w:r>
          </w:p>
        </w:tc>
        <w:tc>
          <w:tcPr>
            <w:tcW w:w="1632" w:type="dxa"/>
          </w:tcPr>
          <w:p w:rsidR="002007F3" w:rsidRDefault="002007F3" w:rsidP="00890499">
            <w:pPr>
              <w:jc w:val="right"/>
            </w:pPr>
            <w:r>
              <w:rPr>
                <w:noProof/>
              </w:rPr>
              <w:t>53.97%</w:t>
            </w:r>
          </w:p>
        </w:tc>
        <w:tc>
          <w:tcPr>
            <w:tcW w:w="1632" w:type="dxa"/>
          </w:tcPr>
          <w:p w:rsidR="002007F3" w:rsidRDefault="002007F3" w:rsidP="00890499">
            <w:pPr>
              <w:jc w:val="right"/>
            </w:pPr>
            <w:r>
              <w:rPr>
                <w:noProof/>
              </w:rPr>
              <w:t>54.59%</w:t>
            </w:r>
          </w:p>
        </w:tc>
        <w:tc>
          <w:tcPr>
            <w:tcW w:w="1632" w:type="dxa"/>
          </w:tcPr>
          <w:p w:rsidR="002007F3" w:rsidRDefault="002007F3" w:rsidP="00890499">
            <w:pPr>
              <w:jc w:val="right"/>
            </w:pPr>
            <w:r>
              <w:rPr>
                <w:noProof/>
              </w:rPr>
              <w:t>55.84%</w:t>
            </w:r>
          </w:p>
        </w:tc>
      </w:tr>
      <w:tr w:rsidR="002007F3" w:rsidTr="004233F1">
        <w:trPr>
          <w:tblHeader/>
        </w:trPr>
        <w:tc>
          <w:tcPr>
            <w:tcW w:w="4770" w:type="dxa"/>
          </w:tcPr>
          <w:p w:rsidR="002007F3" w:rsidRDefault="002007F3" w:rsidP="00890499">
            <w:pPr>
              <w:rPr>
                <w:rFonts w:ascii="Calibri" w:hAnsi="Calibri" w:cs="Calibri"/>
                <w:color w:val="000000"/>
              </w:rPr>
            </w:pPr>
            <w:r>
              <w:rPr>
                <w:rFonts w:ascii="Calibri" w:hAnsi="Calibri" w:cs="Calibri"/>
                <w:color w:val="000000"/>
              </w:rPr>
              <w:t>2S2: Academic Proficiency: Mathematics</w:t>
            </w:r>
          </w:p>
        </w:tc>
        <w:tc>
          <w:tcPr>
            <w:tcW w:w="1440" w:type="dxa"/>
          </w:tcPr>
          <w:p w:rsidR="002007F3" w:rsidRDefault="002007F3" w:rsidP="00890499">
            <w:pPr>
              <w:jc w:val="right"/>
            </w:pPr>
            <w:r>
              <w:rPr>
                <w:noProof/>
              </w:rPr>
              <w:t>40.98%</w:t>
            </w:r>
          </w:p>
        </w:tc>
        <w:tc>
          <w:tcPr>
            <w:tcW w:w="1632" w:type="dxa"/>
          </w:tcPr>
          <w:p w:rsidR="002007F3" w:rsidRDefault="002007F3" w:rsidP="00890499">
            <w:pPr>
              <w:jc w:val="right"/>
            </w:pPr>
            <w:r>
              <w:rPr>
                <w:noProof/>
              </w:rPr>
              <w:t>41.15%</w:t>
            </w:r>
          </w:p>
        </w:tc>
        <w:tc>
          <w:tcPr>
            <w:tcW w:w="1632" w:type="dxa"/>
          </w:tcPr>
          <w:p w:rsidR="002007F3" w:rsidRDefault="002007F3" w:rsidP="00890499">
            <w:pPr>
              <w:jc w:val="right"/>
            </w:pPr>
            <w:r>
              <w:rPr>
                <w:noProof/>
              </w:rPr>
              <w:t>41.47%</w:t>
            </w:r>
          </w:p>
        </w:tc>
        <w:tc>
          <w:tcPr>
            <w:tcW w:w="1632" w:type="dxa"/>
          </w:tcPr>
          <w:p w:rsidR="002007F3" w:rsidRDefault="002007F3" w:rsidP="00890499">
            <w:pPr>
              <w:jc w:val="right"/>
            </w:pPr>
            <w:r>
              <w:rPr>
                <w:noProof/>
              </w:rPr>
              <w:t>42.11%</w:t>
            </w:r>
          </w:p>
        </w:tc>
      </w:tr>
      <w:tr w:rsidR="002007F3" w:rsidTr="004233F1">
        <w:trPr>
          <w:tblHeader/>
        </w:trPr>
        <w:tc>
          <w:tcPr>
            <w:tcW w:w="4770" w:type="dxa"/>
          </w:tcPr>
          <w:p w:rsidR="002007F3" w:rsidRDefault="002007F3" w:rsidP="00890499">
            <w:pPr>
              <w:rPr>
                <w:rFonts w:ascii="Calibri" w:hAnsi="Calibri" w:cs="Calibri"/>
                <w:color w:val="000000"/>
              </w:rPr>
            </w:pPr>
            <w:r>
              <w:rPr>
                <w:rFonts w:ascii="Calibri" w:hAnsi="Calibri" w:cs="Calibri"/>
                <w:color w:val="000000"/>
              </w:rPr>
              <w:t>3S1: Post-Program Placement</w:t>
            </w:r>
          </w:p>
        </w:tc>
        <w:tc>
          <w:tcPr>
            <w:tcW w:w="1440" w:type="dxa"/>
          </w:tcPr>
          <w:p w:rsidR="002007F3" w:rsidRDefault="002007F3" w:rsidP="00890499">
            <w:pPr>
              <w:jc w:val="right"/>
            </w:pPr>
            <w:r>
              <w:rPr>
                <w:noProof/>
              </w:rPr>
              <w:t>53.14%</w:t>
            </w:r>
          </w:p>
        </w:tc>
        <w:tc>
          <w:tcPr>
            <w:tcW w:w="1632" w:type="dxa"/>
          </w:tcPr>
          <w:p w:rsidR="002007F3" w:rsidRDefault="002007F3" w:rsidP="00890499">
            <w:pPr>
              <w:jc w:val="right"/>
            </w:pPr>
            <w:r>
              <w:rPr>
                <w:noProof/>
              </w:rPr>
              <w:t>53.19%</w:t>
            </w:r>
          </w:p>
        </w:tc>
        <w:tc>
          <w:tcPr>
            <w:tcW w:w="1632" w:type="dxa"/>
          </w:tcPr>
          <w:p w:rsidR="002007F3" w:rsidRDefault="002007F3" w:rsidP="00890499">
            <w:pPr>
              <w:jc w:val="right"/>
            </w:pPr>
            <w:r>
              <w:rPr>
                <w:noProof/>
              </w:rPr>
              <w:t>53.30%</w:t>
            </w:r>
          </w:p>
        </w:tc>
        <w:tc>
          <w:tcPr>
            <w:tcW w:w="1632" w:type="dxa"/>
          </w:tcPr>
          <w:p w:rsidR="002007F3" w:rsidRDefault="002007F3" w:rsidP="00890499">
            <w:pPr>
              <w:jc w:val="right"/>
            </w:pPr>
            <w:r>
              <w:rPr>
                <w:noProof/>
              </w:rPr>
              <w:t>53.51%</w:t>
            </w:r>
          </w:p>
        </w:tc>
      </w:tr>
      <w:tr w:rsidR="002007F3" w:rsidTr="004233F1">
        <w:trPr>
          <w:tblHeader/>
        </w:trPr>
        <w:tc>
          <w:tcPr>
            <w:tcW w:w="4770" w:type="dxa"/>
          </w:tcPr>
          <w:p w:rsidR="002007F3" w:rsidRDefault="002007F3" w:rsidP="00890499">
            <w:pPr>
              <w:rPr>
                <w:rFonts w:ascii="Calibri" w:hAnsi="Calibri" w:cs="Calibri"/>
                <w:color w:val="000000"/>
              </w:rPr>
            </w:pPr>
            <w:r>
              <w:rPr>
                <w:rFonts w:ascii="Calibri" w:hAnsi="Calibri" w:cs="Calibri"/>
                <w:color w:val="000000"/>
              </w:rPr>
              <w:t>4S1: Nontraditional Program Concentration</w:t>
            </w:r>
          </w:p>
        </w:tc>
        <w:tc>
          <w:tcPr>
            <w:tcW w:w="1440" w:type="dxa"/>
          </w:tcPr>
          <w:p w:rsidR="002007F3" w:rsidRDefault="002007F3" w:rsidP="00890499">
            <w:pPr>
              <w:jc w:val="right"/>
            </w:pPr>
            <w:r>
              <w:rPr>
                <w:noProof/>
              </w:rPr>
              <w:t>33.22%</w:t>
            </w:r>
          </w:p>
        </w:tc>
        <w:tc>
          <w:tcPr>
            <w:tcW w:w="1632" w:type="dxa"/>
          </w:tcPr>
          <w:p w:rsidR="002007F3" w:rsidRDefault="002007F3" w:rsidP="00890499">
            <w:pPr>
              <w:jc w:val="right"/>
            </w:pPr>
            <w:r>
              <w:rPr>
                <w:noProof/>
              </w:rPr>
              <w:t>33.43%</w:t>
            </w:r>
          </w:p>
        </w:tc>
        <w:tc>
          <w:tcPr>
            <w:tcW w:w="1632" w:type="dxa"/>
          </w:tcPr>
          <w:p w:rsidR="002007F3" w:rsidRDefault="002007F3" w:rsidP="00890499">
            <w:pPr>
              <w:jc w:val="right"/>
            </w:pPr>
            <w:r>
              <w:rPr>
                <w:noProof/>
              </w:rPr>
              <w:t>33.85%</w:t>
            </w:r>
          </w:p>
        </w:tc>
        <w:tc>
          <w:tcPr>
            <w:tcW w:w="1632" w:type="dxa"/>
          </w:tcPr>
          <w:p w:rsidR="002007F3" w:rsidRDefault="002007F3" w:rsidP="00890499">
            <w:pPr>
              <w:jc w:val="right"/>
            </w:pPr>
            <w:r>
              <w:rPr>
                <w:noProof/>
              </w:rPr>
              <w:t>34.69%</w:t>
            </w:r>
          </w:p>
        </w:tc>
      </w:tr>
      <w:tr w:rsidR="002007F3" w:rsidTr="004233F1">
        <w:trPr>
          <w:tblHeader/>
        </w:trPr>
        <w:tc>
          <w:tcPr>
            <w:tcW w:w="4770" w:type="dxa"/>
          </w:tcPr>
          <w:p w:rsidR="002007F3" w:rsidRDefault="002007F3" w:rsidP="00B30B80">
            <w:pPr>
              <w:rPr>
                <w:rFonts w:ascii="Calibri" w:hAnsi="Calibri" w:cs="Calibri"/>
                <w:color w:val="000000"/>
              </w:rPr>
            </w:pPr>
            <w:r>
              <w:rPr>
                <w:rFonts w:ascii="Calibri" w:hAnsi="Calibri" w:cs="Calibri"/>
                <w:color w:val="000000"/>
              </w:rPr>
              <w:t>5S3: Program Quality: Work-Based Learning</w:t>
            </w:r>
          </w:p>
        </w:tc>
        <w:tc>
          <w:tcPr>
            <w:tcW w:w="1440" w:type="dxa"/>
          </w:tcPr>
          <w:p w:rsidR="002007F3" w:rsidRDefault="002007F3" w:rsidP="00890499">
            <w:pPr>
              <w:jc w:val="right"/>
            </w:pPr>
            <w:r>
              <w:rPr>
                <w:noProof/>
              </w:rPr>
              <w:t>16.50%</w:t>
            </w:r>
          </w:p>
        </w:tc>
        <w:tc>
          <w:tcPr>
            <w:tcW w:w="1632" w:type="dxa"/>
          </w:tcPr>
          <w:p w:rsidR="002007F3" w:rsidRDefault="002007F3" w:rsidP="00890499">
            <w:pPr>
              <w:jc w:val="right"/>
            </w:pPr>
            <w:r>
              <w:rPr>
                <w:noProof/>
              </w:rPr>
              <w:t>16.54%</w:t>
            </w:r>
          </w:p>
        </w:tc>
        <w:tc>
          <w:tcPr>
            <w:tcW w:w="1632" w:type="dxa"/>
          </w:tcPr>
          <w:p w:rsidR="002007F3" w:rsidRDefault="002007F3" w:rsidP="00890499">
            <w:pPr>
              <w:jc w:val="right"/>
            </w:pPr>
            <w:r>
              <w:rPr>
                <w:noProof/>
              </w:rPr>
              <w:t>16.64%</w:t>
            </w:r>
          </w:p>
        </w:tc>
        <w:tc>
          <w:tcPr>
            <w:tcW w:w="1632" w:type="dxa"/>
          </w:tcPr>
          <w:p w:rsidR="002007F3" w:rsidRDefault="002007F3" w:rsidP="00890499">
            <w:pPr>
              <w:jc w:val="right"/>
            </w:pPr>
            <w:r>
              <w:rPr>
                <w:noProof/>
              </w:rPr>
              <w:t>16.83%</w:t>
            </w:r>
          </w:p>
        </w:tc>
      </w:tr>
      <w:tr w:rsidR="002007F3" w:rsidTr="004233F1">
        <w:trPr>
          <w:tblHeader/>
        </w:trPr>
        <w:tc>
          <w:tcPr>
            <w:tcW w:w="4770" w:type="dxa"/>
            <w:tcBorders>
              <w:top w:val="single" w:sz="18" w:space="0" w:color="auto"/>
            </w:tcBorders>
          </w:tcPr>
          <w:p w:rsidR="002007F3" w:rsidRDefault="002007F3" w:rsidP="00890499">
            <w:pPr>
              <w:rPr>
                <w:rFonts w:ascii="Calibri" w:hAnsi="Calibri" w:cs="Calibri"/>
                <w:color w:val="000000"/>
              </w:rPr>
            </w:pPr>
            <w:r>
              <w:rPr>
                <w:rFonts w:ascii="Calibri" w:hAnsi="Calibri" w:cs="Calibri"/>
                <w:color w:val="000000"/>
              </w:rPr>
              <w:t>1P1: Postsecondary Retention and Placement</w:t>
            </w:r>
          </w:p>
        </w:tc>
        <w:tc>
          <w:tcPr>
            <w:tcW w:w="1440" w:type="dxa"/>
            <w:tcBorders>
              <w:top w:val="single" w:sz="18" w:space="0" w:color="auto"/>
            </w:tcBorders>
          </w:tcPr>
          <w:p w:rsidR="002007F3" w:rsidRDefault="002007F3" w:rsidP="00890499">
            <w:pPr>
              <w:jc w:val="right"/>
            </w:pPr>
            <w:r>
              <w:rPr>
                <w:noProof/>
              </w:rPr>
              <w:t>92.09%</w:t>
            </w:r>
          </w:p>
        </w:tc>
        <w:tc>
          <w:tcPr>
            <w:tcW w:w="1632" w:type="dxa"/>
            <w:tcBorders>
              <w:top w:val="single" w:sz="18" w:space="0" w:color="auto"/>
            </w:tcBorders>
          </w:tcPr>
          <w:p w:rsidR="002007F3" w:rsidRDefault="002007F3" w:rsidP="00890499">
            <w:pPr>
              <w:jc w:val="right"/>
            </w:pPr>
            <w:r>
              <w:rPr>
                <w:noProof/>
              </w:rPr>
              <w:t>92.32%</w:t>
            </w:r>
          </w:p>
        </w:tc>
        <w:tc>
          <w:tcPr>
            <w:tcW w:w="1632" w:type="dxa"/>
            <w:tcBorders>
              <w:top w:val="single" w:sz="18" w:space="0" w:color="auto"/>
            </w:tcBorders>
          </w:tcPr>
          <w:p w:rsidR="002007F3" w:rsidRDefault="002007F3" w:rsidP="00890499">
            <w:pPr>
              <w:jc w:val="right"/>
            </w:pPr>
            <w:r>
              <w:rPr>
                <w:noProof/>
              </w:rPr>
              <w:t>92.78%</w:t>
            </w:r>
          </w:p>
        </w:tc>
        <w:tc>
          <w:tcPr>
            <w:tcW w:w="1632" w:type="dxa"/>
            <w:tcBorders>
              <w:top w:val="single" w:sz="18" w:space="0" w:color="auto"/>
            </w:tcBorders>
          </w:tcPr>
          <w:p w:rsidR="002007F3" w:rsidRDefault="002007F3" w:rsidP="00890499">
            <w:pPr>
              <w:jc w:val="right"/>
            </w:pPr>
            <w:r>
              <w:rPr>
                <w:noProof/>
              </w:rPr>
              <w:t>93.70%</w:t>
            </w:r>
          </w:p>
        </w:tc>
      </w:tr>
      <w:tr w:rsidR="002007F3" w:rsidTr="004233F1">
        <w:trPr>
          <w:tblHeader/>
        </w:trPr>
        <w:tc>
          <w:tcPr>
            <w:tcW w:w="4770" w:type="dxa"/>
          </w:tcPr>
          <w:p w:rsidR="002007F3" w:rsidRDefault="002007F3" w:rsidP="00890499">
            <w:pPr>
              <w:rPr>
                <w:rFonts w:ascii="Calibri" w:hAnsi="Calibri" w:cs="Calibri"/>
                <w:color w:val="000000"/>
              </w:rPr>
            </w:pPr>
            <w:r>
              <w:rPr>
                <w:rFonts w:ascii="Calibri" w:hAnsi="Calibri" w:cs="Calibri"/>
                <w:color w:val="000000"/>
              </w:rPr>
              <w:t>2P1: Earned Recognized Postsecondary Credential</w:t>
            </w:r>
          </w:p>
        </w:tc>
        <w:tc>
          <w:tcPr>
            <w:tcW w:w="1440" w:type="dxa"/>
          </w:tcPr>
          <w:p w:rsidR="002007F3" w:rsidRDefault="002007F3" w:rsidP="00890499">
            <w:pPr>
              <w:jc w:val="right"/>
            </w:pPr>
            <w:r>
              <w:rPr>
                <w:noProof/>
              </w:rPr>
              <w:t>55.62%</w:t>
            </w:r>
          </w:p>
        </w:tc>
        <w:tc>
          <w:tcPr>
            <w:tcW w:w="1632" w:type="dxa"/>
          </w:tcPr>
          <w:p w:rsidR="002007F3" w:rsidRDefault="002007F3" w:rsidP="00890499">
            <w:pPr>
              <w:jc w:val="right"/>
            </w:pPr>
            <w:r>
              <w:rPr>
                <w:noProof/>
              </w:rPr>
              <w:t>55.94%</w:t>
            </w:r>
          </w:p>
        </w:tc>
        <w:tc>
          <w:tcPr>
            <w:tcW w:w="1632" w:type="dxa"/>
          </w:tcPr>
          <w:p w:rsidR="002007F3" w:rsidRDefault="002007F3" w:rsidP="00890499">
            <w:pPr>
              <w:jc w:val="right"/>
            </w:pPr>
            <w:r>
              <w:rPr>
                <w:noProof/>
              </w:rPr>
              <w:t>56.59%</w:t>
            </w:r>
          </w:p>
        </w:tc>
        <w:tc>
          <w:tcPr>
            <w:tcW w:w="1632" w:type="dxa"/>
          </w:tcPr>
          <w:p w:rsidR="002007F3" w:rsidRDefault="002007F3" w:rsidP="00890499">
            <w:pPr>
              <w:jc w:val="right"/>
            </w:pPr>
            <w:r>
              <w:rPr>
                <w:noProof/>
              </w:rPr>
              <w:t>57.88%</w:t>
            </w:r>
          </w:p>
        </w:tc>
      </w:tr>
      <w:tr w:rsidR="002007F3" w:rsidTr="004233F1">
        <w:trPr>
          <w:tblHeader/>
        </w:trPr>
        <w:tc>
          <w:tcPr>
            <w:tcW w:w="4770" w:type="dxa"/>
          </w:tcPr>
          <w:p w:rsidR="002007F3" w:rsidRDefault="002007F3" w:rsidP="00890499">
            <w:pPr>
              <w:rPr>
                <w:rFonts w:ascii="Calibri" w:hAnsi="Calibri" w:cs="Calibri"/>
                <w:color w:val="000000"/>
              </w:rPr>
            </w:pPr>
            <w:r>
              <w:rPr>
                <w:rFonts w:ascii="Calibri" w:hAnsi="Calibri" w:cs="Calibri"/>
                <w:color w:val="000000"/>
              </w:rPr>
              <w:t>3P1: Nontraditional Program Enrollment</w:t>
            </w:r>
          </w:p>
        </w:tc>
        <w:tc>
          <w:tcPr>
            <w:tcW w:w="1440" w:type="dxa"/>
          </w:tcPr>
          <w:p w:rsidR="002007F3" w:rsidRDefault="002007F3" w:rsidP="00890499">
            <w:pPr>
              <w:jc w:val="right"/>
            </w:pPr>
            <w:r>
              <w:rPr>
                <w:noProof/>
              </w:rPr>
              <w:t>10.32%</w:t>
            </w:r>
          </w:p>
        </w:tc>
        <w:tc>
          <w:tcPr>
            <w:tcW w:w="1632" w:type="dxa"/>
          </w:tcPr>
          <w:p w:rsidR="002007F3" w:rsidRDefault="002007F3" w:rsidP="00890499">
            <w:pPr>
              <w:jc w:val="right"/>
            </w:pPr>
            <w:r>
              <w:rPr>
                <w:noProof/>
              </w:rPr>
              <w:t>10.43%</w:t>
            </w:r>
          </w:p>
        </w:tc>
        <w:tc>
          <w:tcPr>
            <w:tcW w:w="1632" w:type="dxa"/>
          </w:tcPr>
          <w:p w:rsidR="002007F3" w:rsidRDefault="002007F3" w:rsidP="00890499">
            <w:pPr>
              <w:jc w:val="right"/>
            </w:pPr>
            <w:r>
              <w:rPr>
                <w:noProof/>
              </w:rPr>
              <w:t>10.64%</w:t>
            </w:r>
          </w:p>
        </w:tc>
        <w:tc>
          <w:tcPr>
            <w:tcW w:w="1632" w:type="dxa"/>
          </w:tcPr>
          <w:p w:rsidR="002007F3" w:rsidRDefault="002007F3" w:rsidP="00890499">
            <w:pPr>
              <w:jc w:val="right"/>
            </w:pPr>
            <w:r>
              <w:rPr>
                <w:noProof/>
              </w:rPr>
              <w:t>11.08%</w:t>
            </w:r>
          </w:p>
        </w:tc>
      </w:tr>
    </w:tbl>
    <w:p w:rsidR="002007F3" w:rsidRPr="003D4029" w:rsidRDefault="002007F3" w:rsidP="003D4029">
      <w:pPr>
        <w:spacing w:after="0" w:line="240" w:lineRule="auto"/>
        <w:rPr>
          <w:szCs w:val="20"/>
        </w:rPr>
      </w:pPr>
      <w:r w:rsidRPr="003D4029">
        <w:rPr>
          <w:b/>
          <w:szCs w:val="20"/>
        </w:rPr>
        <w:t>*</w:t>
      </w:r>
      <w:r w:rsidRPr="003D4029">
        <w:rPr>
          <w:szCs w:val="20"/>
        </w:rPr>
        <w:t>Note: updates made to the secondary accountability on Dec. 2, 2019 include removing Extended (7yr) Graduation Rate (1S2) as well as the Program Quality: Postsecondary-Credit (5S2) performance indicators. Reports will be generated for Extended (7yr) Graduation Rate, and Minnesota Department of Education will continue to explore the feasibility of adding Postsecondary-Cr</w:t>
      </w:r>
      <w:r>
        <w:rPr>
          <w:szCs w:val="20"/>
        </w:rPr>
        <w:t>edit</w:t>
      </w:r>
      <w:r w:rsidRPr="003D4029">
        <w:rPr>
          <w:szCs w:val="20"/>
        </w:rPr>
        <w:t xml:space="preserve"> in the future. Finally, Work-Based Learning (5S3) was added to represent the Program Quality indicator. </w:t>
      </w:r>
      <w:r>
        <w:rPr>
          <w:szCs w:val="20"/>
        </w:rPr>
        <w:t xml:space="preserve">Updates made on Dec 20, 2019 include removing the </w:t>
      </w:r>
      <w:r w:rsidR="00287BBA">
        <w:rPr>
          <w:szCs w:val="20"/>
        </w:rPr>
        <w:t xml:space="preserve">(5S4) </w:t>
      </w:r>
      <w:r>
        <w:rPr>
          <w:szCs w:val="20"/>
        </w:rPr>
        <w:t>Program Quality: TSA/IRC performance indicator.</w:t>
      </w:r>
    </w:p>
    <w:p w:rsidR="002007F3" w:rsidRDefault="002007F3" w:rsidP="0006393E">
      <w:pPr>
        <w:spacing w:before="240" w:after="0"/>
        <w:jc w:val="center"/>
      </w:pPr>
      <w:r w:rsidRPr="00EF1669">
        <w:rPr>
          <w:b/>
          <w:sz w:val="26"/>
          <w:szCs w:val="26"/>
        </w:rPr>
        <w:t>Modeled Historical Data by Reporting Year</w:t>
      </w:r>
    </w:p>
    <w:tbl>
      <w:tblPr>
        <w:tblStyle w:val="TableGrid"/>
        <w:tblW w:w="14040" w:type="dxa"/>
        <w:tblInd w:w="-5" w:type="dxa"/>
        <w:tblLayout w:type="fixed"/>
        <w:tblLook w:val="04A0" w:firstRow="1" w:lastRow="0" w:firstColumn="1" w:lastColumn="0" w:noHBand="0" w:noVBand="1"/>
        <w:tblCaption w:val="Consortium Modeled Historical Data by Reporting Year"/>
        <w:tblDescription w:val="This table contains modeled historical data for all indicators for historical reporting years 2011 through 2019. Data could not be modeled for all indicators for all historical reporting years."/>
      </w:tblPr>
      <w:tblGrid>
        <w:gridCol w:w="5040"/>
        <w:gridCol w:w="1000"/>
        <w:gridCol w:w="1000"/>
        <w:gridCol w:w="1000"/>
        <w:gridCol w:w="1000"/>
        <w:gridCol w:w="1000"/>
        <w:gridCol w:w="1000"/>
        <w:gridCol w:w="1000"/>
        <w:gridCol w:w="1000"/>
        <w:gridCol w:w="1000"/>
      </w:tblGrid>
      <w:tr w:rsidR="002007F3" w:rsidTr="00154242">
        <w:trPr>
          <w:tblHeader/>
        </w:trPr>
        <w:tc>
          <w:tcPr>
            <w:tcW w:w="5040" w:type="dxa"/>
          </w:tcPr>
          <w:p w:rsidR="002007F3" w:rsidRPr="00EF1669" w:rsidRDefault="002007F3" w:rsidP="00B30B80">
            <w:pPr>
              <w:jc w:val="center"/>
              <w:rPr>
                <w:rFonts w:ascii="Calibri" w:hAnsi="Calibri" w:cs="Calibri"/>
                <w:b/>
                <w:color w:val="000000"/>
              </w:rPr>
            </w:pPr>
            <w:r>
              <w:rPr>
                <w:rFonts w:ascii="Calibri" w:hAnsi="Calibri" w:cs="Calibri"/>
                <w:b/>
                <w:color w:val="000000"/>
              </w:rPr>
              <w:t>Indicator Name</w:t>
            </w:r>
          </w:p>
        </w:tc>
        <w:tc>
          <w:tcPr>
            <w:tcW w:w="1000" w:type="dxa"/>
          </w:tcPr>
          <w:p w:rsidR="002007F3" w:rsidRPr="00EF1669" w:rsidRDefault="002007F3" w:rsidP="00B30B80">
            <w:pPr>
              <w:jc w:val="center"/>
              <w:rPr>
                <w:b/>
              </w:rPr>
            </w:pPr>
            <w:r w:rsidRPr="00EF1669">
              <w:rPr>
                <w:b/>
              </w:rPr>
              <w:t>2011</w:t>
            </w:r>
          </w:p>
        </w:tc>
        <w:tc>
          <w:tcPr>
            <w:tcW w:w="1000" w:type="dxa"/>
          </w:tcPr>
          <w:p w:rsidR="002007F3" w:rsidRPr="00EF1669" w:rsidRDefault="002007F3" w:rsidP="00B30B80">
            <w:pPr>
              <w:jc w:val="center"/>
              <w:rPr>
                <w:b/>
              </w:rPr>
            </w:pPr>
            <w:r w:rsidRPr="00EF1669">
              <w:rPr>
                <w:b/>
              </w:rPr>
              <w:t>2012</w:t>
            </w:r>
          </w:p>
        </w:tc>
        <w:tc>
          <w:tcPr>
            <w:tcW w:w="1000" w:type="dxa"/>
          </w:tcPr>
          <w:p w:rsidR="002007F3" w:rsidRPr="00EF1669" w:rsidRDefault="002007F3" w:rsidP="00B30B80">
            <w:pPr>
              <w:jc w:val="center"/>
              <w:rPr>
                <w:b/>
              </w:rPr>
            </w:pPr>
            <w:r w:rsidRPr="00EF1669">
              <w:rPr>
                <w:b/>
              </w:rPr>
              <w:t>2013</w:t>
            </w:r>
          </w:p>
        </w:tc>
        <w:tc>
          <w:tcPr>
            <w:tcW w:w="1000" w:type="dxa"/>
          </w:tcPr>
          <w:p w:rsidR="002007F3" w:rsidRPr="00EF1669" w:rsidRDefault="002007F3" w:rsidP="00B30B80">
            <w:pPr>
              <w:jc w:val="center"/>
              <w:rPr>
                <w:b/>
              </w:rPr>
            </w:pPr>
            <w:r w:rsidRPr="00EF1669">
              <w:rPr>
                <w:b/>
              </w:rPr>
              <w:t>2014</w:t>
            </w:r>
          </w:p>
        </w:tc>
        <w:tc>
          <w:tcPr>
            <w:tcW w:w="1000" w:type="dxa"/>
          </w:tcPr>
          <w:p w:rsidR="002007F3" w:rsidRPr="00EF1669" w:rsidRDefault="002007F3" w:rsidP="00B30B80">
            <w:pPr>
              <w:jc w:val="center"/>
              <w:rPr>
                <w:b/>
              </w:rPr>
            </w:pPr>
            <w:r w:rsidRPr="00EF1669">
              <w:rPr>
                <w:b/>
              </w:rPr>
              <w:t>2015</w:t>
            </w:r>
          </w:p>
        </w:tc>
        <w:tc>
          <w:tcPr>
            <w:tcW w:w="1000" w:type="dxa"/>
          </w:tcPr>
          <w:p w:rsidR="002007F3" w:rsidRPr="00EF1669" w:rsidRDefault="002007F3" w:rsidP="00B30B80">
            <w:pPr>
              <w:jc w:val="center"/>
              <w:rPr>
                <w:b/>
              </w:rPr>
            </w:pPr>
            <w:r w:rsidRPr="00EF1669">
              <w:rPr>
                <w:b/>
              </w:rPr>
              <w:t>2016</w:t>
            </w:r>
          </w:p>
        </w:tc>
        <w:tc>
          <w:tcPr>
            <w:tcW w:w="1000" w:type="dxa"/>
          </w:tcPr>
          <w:p w:rsidR="002007F3" w:rsidRPr="00EF1669" w:rsidRDefault="002007F3" w:rsidP="00B30B80">
            <w:pPr>
              <w:jc w:val="center"/>
              <w:rPr>
                <w:b/>
              </w:rPr>
            </w:pPr>
            <w:r w:rsidRPr="00EF1669">
              <w:rPr>
                <w:b/>
              </w:rPr>
              <w:t>2017</w:t>
            </w:r>
          </w:p>
        </w:tc>
        <w:tc>
          <w:tcPr>
            <w:tcW w:w="1000" w:type="dxa"/>
          </w:tcPr>
          <w:p w:rsidR="002007F3" w:rsidRPr="00EF1669" w:rsidRDefault="002007F3" w:rsidP="00B30B80">
            <w:pPr>
              <w:jc w:val="center"/>
              <w:rPr>
                <w:b/>
              </w:rPr>
            </w:pPr>
            <w:r w:rsidRPr="00EF1669">
              <w:rPr>
                <w:b/>
              </w:rPr>
              <w:t>2018</w:t>
            </w:r>
          </w:p>
        </w:tc>
        <w:tc>
          <w:tcPr>
            <w:tcW w:w="1000" w:type="dxa"/>
          </w:tcPr>
          <w:p w:rsidR="002007F3" w:rsidRPr="00EF1669" w:rsidRDefault="002007F3" w:rsidP="00B30B80">
            <w:pPr>
              <w:jc w:val="center"/>
              <w:rPr>
                <w:b/>
              </w:rPr>
            </w:pPr>
            <w:r w:rsidRPr="00EF1669">
              <w:rPr>
                <w:b/>
              </w:rPr>
              <w:t>2019</w:t>
            </w:r>
          </w:p>
        </w:tc>
      </w:tr>
      <w:tr w:rsidR="002007F3" w:rsidTr="00154242">
        <w:trPr>
          <w:tblHeader/>
        </w:trPr>
        <w:tc>
          <w:tcPr>
            <w:tcW w:w="5040" w:type="dxa"/>
          </w:tcPr>
          <w:p w:rsidR="002007F3" w:rsidRDefault="002007F3" w:rsidP="00B30B80">
            <w:pPr>
              <w:rPr>
                <w:rFonts w:ascii="Calibri" w:hAnsi="Calibri" w:cs="Calibri"/>
                <w:color w:val="000000"/>
              </w:rPr>
            </w:pPr>
            <w:r>
              <w:rPr>
                <w:rFonts w:ascii="Calibri" w:hAnsi="Calibri" w:cs="Calibri"/>
                <w:color w:val="000000"/>
              </w:rPr>
              <w:t>1S1: Graduation Rate (4-year)</w:t>
            </w:r>
          </w:p>
        </w:tc>
        <w:tc>
          <w:tcPr>
            <w:tcW w:w="1000" w:type="dxa"/>
          </w:tcPr>
          <w:p w:rsidR="002007F3" w:rsidRDefault="002007F3" w:rsidP="00B30B80">
            <w:pPr>
              <w:jc w:val="right"/>
            </w:pPr>
            <w:r>
              <w:rPr>
                <w:noProof/>
              </w:rPr>
              <w:t>96.34%</w:t>
            </w:r>
          </w:p>
        </w:tc>
        <w:tc>
          <w:tcPr>
            <w:tcW w:w="1000" w:type="dxa"/>
          </w:tcPr>
          <w:p w:rsidR="002007F3" w:rsidRDefault="002007F3" w:rsidP="00B30B80">
            <w:pPr>
              <w:jc w:val="right"/>
            </w:pPr>
            <w:r>
              <w:rPr>
                <w:noProof/>
              </w:rPr>
              <w:t>90.15%</w:t>
            </w:r>
          </w:p>
        </w:tc>
        <w:tc>
          <w:tcPr>
            <w:tcW w:w="1000" w:type="dxa"/>
          </w:tcPr>
          <w:p w:rsidR="002007F3" w:rsidRDefault="002007F3" w:rsidP="00B30B80">
            <w:pPr>
              <w:jc w:val="right"/>
            </w:pPr>
            <w:r>
              <w:rPr>
                <w:noProof/>
              </w:rPr>
              <w:t>94.22%</w:t>
            </w:r>
          </w:p>
        </w:tc>
        <w:tc>
          <w:tcPr>
            <w:tcW w:w="1000" w:type="dxa"/>
          </w:tcPr>
          <w:p w:rsidR="002007F3" w:rsidRDefault="002007F3" w:rsidP="00B30B80">
            <w:pPr>
              <w:jc w:val="right"/>
            </w:pPr>
            <w:r>
              <w:rPr>
                <w:noProof/>
              </w:rPr>
              <w:t>93.95%</w:t>
            </w:r>
          </w:p>
        </w:tc>
        <w:tc>
          <w:tcPr>
            <w:tcW w:w="1000" w:type="dxa"/>
          </w:tcPr>
          <w:p w:rsidR="002007F3" w:rsidRDefault="002007F3" w:rsidP="00B30B80">
            <w:pPr>
              <w:jc w:val="right"/>
            </w:pPr>
            <w:r>
              <w:rPr>
                <w:noProof/>
              </w:rPr>
              <w:t>94.83%</w:t>
            </w:r>
          </w:p>
        </w:tc>
        <w:tc>
          <w:tcPr>
            <w:tcW w:w="1000" w:type="dxa"/>
          </w:tcPr>
          <w:p w:rsidR="002007F3" w:rsidRDefault="002007F3" w:rsidP="00B30B80">
            <w:pPr>
              <w:jc w:val="right"/>
            </w:pPr>
            <w:r>
              <w:rPr>
                <w:noProof/>
              </w:rPr>
              <w:t>93.90%</w:t>
            </w:r>
          </w:p>
        </w:tc>
        <w:tc>
          <w:tcPr>
            <w:tcW w:w="1000" w:type="dxa"/>
          </w:tcPr>
          <w:p w:rsidR="002007F3" w:rsidRDefault="002007F3" w:rsidP="00B30B80">
            <w:pPr>
              <w:jc w:val="right"/>
            </w:pPr>
            <w:r>
              <w:rPr>
                <w:noProof/>
              </w:rPr>
              <w:t>94.27%</w:t>
            </w:r>
          </w:p>
        </w:tc>
        <w:tc>
          <w:tcPr>
            <w:tcW w:w="1000" w:type="dxa"/>
          </w:tcPr>
          <w:p w:rsidR="002007F3" w:rsidRDefault="002007F3" w:rsidP="00B30B80">
            <w:pPr>
              <w:jc w:val="right"/>
            </w:pPr>
            <w:r>
              <w:rPr>
                <w:noProof/>
              </w:rPr>
              <w:t>93.53%</w:t>
            </w:r>
          </w:p>
        </w:tc>
        <w:tc>
          <w:tcPr>
            <w:tcW w:w="1000" w:type="dxa"/>
            <w:shd w:val="clear" w:color="auto" w:fill="BFBFBF" w:themeFill="background1" w:themeFillShade="BF"/>
          </w:tcPr>
          <w:p w:rsidR="002007F3" w:rsidRDefault="002007F3" w:rsidP="00B30B80">
            <w:pPr>
              <w:jc w:val="right"/>
            </w:pPr>
          </w:p>
        </w:tc>
      </w:tr>
      <w:tr w:rsidR="002007F3" w:rsidTr="00154242">
        <w:trPr>
          <w:tblHeader/>
        </w:trPr>
        <w:tc>
          <w:tcPr>
            <w:tcW w:w="5040" w:type="dxa"/>
          </w:tcPr>
          <w:p w:rsidR="002007F3" w:rsidRDefault="002007F3" w:rsidP="00B30B80">
            <w:pPr>
              <w:rPr>
                <w:rFonts w:ascii="Calibri" w:hAnsi="Calibri" w:cs="Calibri"/>
                <w:color w:val="000000"/>
              </w:rPr>
            </w:pPr>
            <w:r>
              <w:rPr>
                <w:rFonts w:ascii="Calibri" w:hAnsi="Calibri" w:cs="Calibri"/>
                <w:color w:val="000000"/>
              </w:rPr>
              <w:t>2S1: Academic Proficiency: Reading/Language Arts</w:t>
            </w: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tcPr>
          <w:p w:rsidR="002007F3" w:rsidRDefault="002007F3" w:rsidP="00B30B80">
            <w:pPr>
              <w:jc w:val="right"/>
              <w:rPr>
                <w:noProof/>
              </w:rPr>
            </w:pPr>
            <w:r>
              <w:rPr>
                <w:noProof/>
              </w:rPr>
              <w:t>64.59%</w:t>
            </w:r>
          </w:p>
        </w:tc>
        <w:tc>
          <w:tcPr>
            <w:tcW w:w="1000" w:type="dxa"/>
          </w:tcPr>
          <w:p w:rsidR="002007F3" w:rsidRDefault="002007F3" w:rsidP="00B30B80">
            <w:pPr>
              <w:jc w:val="right"/>
              <w:rPr>
                <w:noProof/>
              </w:rPr>
            </w:pPr>
            <w:r>
              <w:rPr>
                <w:noProof/>
              </w:rPr>
              <w:t>55.84%</w:t>
            </w:r>
          </w:p>
        </w:tc>
        <w:tc>
          <w:tcPr>
            <w:tcW w:w="1000" w:type="dxa"/>
          </w:tcPr>
          <w:p w:rsidR="002007F3" w:rsidRDefault="002007F3" w:rsidP="00B30B80">
            <w:pPr>
              <w:jc w:val="right"/>
              <w:rPr>
                <w:noProof/>
              </w:rPr>
            </w:pPr>
            <w:r>
              <w:rPr>
                <w:noProof/>
              </w:rPr>
              <w:t>52.43%</w:t>
            </w:r>
          </w:p>
        </w:tc>
        <w:tc>
          <w:tcPr>
            <w:tcW w:w="1000" w:type="dxa"/>
          </w:tcPr>
          <w:p w:rsidR="002007F3" w:rsidRDefault="002007F3" w:rsidP="00B30B80">
            <w:pPr>
              <w:jc w:val="right"/>
              <w:rPr>
                <w:noProof/>
              </w:rPr>
            </w:pPr>
            <w:r>
              <w:rPr>
                <w:noProof/>
              </w:rPr>
              <w:t>53.34%</w:t>
            </w:r>
          </w:p>
        </w:tc>
        <w:tc>
          <w:tcPr>
            <w:tcW w:w="1000" w:type="dxa"/>
            <w:shd w:val="clear" w:color="auto" w:fill="BFBFBF" w:themeFill="background1" w:themeFillShade="BF"/>
          </w:tcPr>
          <w:p w:rsidR="002007F3" w:rsidRDefault="002007F3" w:rsidP="00B30B80">
            <w:pPr>
              <w:jc w:val="right"/>
              <w:rPr>
                <w:noProof/>
              </w:rPr>
            </w:pPr>
          </w:p>
        </w:tc>
      </w:tr>
      <w:tr w:rsidR="002007F3" w:rsidTr="00154242">
        <w:trPr>
          <w:tblHeader/>
        </w:trPr>
        <w:tc>
          <w:tcPr>
            <w:tcW w:w="5040" w:type="dxa"/>
          </w:tcPr>
          <w:p w:rsidR="002007F3" w:rsidRDefault="002007F3" w:rsidP="00B30B80">
            <w:pPr>
              <w:rPr>
                <w:rFonts w:ascii="Calibri" w:hAnsi="Calibri" w:cs="Calibri"/>
                <w:color w:val="000000"/>
              </w:rPr>
            </w:pPr>
            <w:r>
              <w:rPr>
                <w:rFonts w:ascii="Calibri" w:hAnsi="Calibri" w:cs="Calibri"/>
                <w:color w:val="000000"/>
              </w:rPr>
              <w:t>2S2: Academic Proficiency: Mathematics</w:t>
            </w: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tcPr>
          <w:p w:rsidR="002007F3" w:rsidRDefault="002007F3" w:rsidP="00B30B80">
            <w:pPr>
              <w:jc w:val="right"/>
              <w:rPr>
                <w:noProof/>
              </w:rPr>
            </w:pPr>
            <w:r>
              <w:rPr>
                <w:noProof/>
              </w:rPr>
              <w:t>52.05%</w:t>
            </w:r>
          </w:p>
        </w:tc>
        <w:tc>
          <w:tcPr>
            <w:tcW w:w="1000" w:type="dxa"/>
          </w:tcPr>
          <w:p w:rsidR="002007F3" w:rsidRDefault="002007F3" w:rsidP="00B30B80">
            <w:pPr>
              <w:jc w:val="right"/>
              <w:rPr>
                <w:noProof/>
              </w:rPr>
            </w:pPr>
            <w:r>
              <w:rPr>
                <w:noProof/>
              </w:rPr>
              <w:t>43.00%</w:t>
            </w:r>
          </w:p>
        </w:tc>
        <w:tc>
          <w:tcPr>
            <w:tcW w:w="1000" w:type="dxa"/>
          </w:tcPr>
          <w:p w:rsidR="002007F3" w:rsidRDefault="002007F3" w:rsidP="00B30B80">
            <w:pPr>
              <w:jc w:val="right"/>
              <w:rPr>
                <w:noProof/>
              </w:rPr>
            </w:pPr>
            <w:r>
              <w:rPr>
                <w:noProof/>
              </w:rPr>
              <w:t>40.88%</w:t>
            </w:r>
          </w:p>
        </w:tc>
        <w:tc>
          <w:tcPr>
            <w:tcW w:w="1000" w:type="dxa"/>
          </w:tcPr>
          <w:p w:rsidR="002007F3" w:rsidRDefault="002007F3" w:rsidP="00B30B80">
            <w:pPr>
              <w:jc w:val="right"/>
              <w:rPr>
                <w:noProof/>
              </w:rPr>
            </w:pPr>
            <w:r>
              <w:rPr>
                <w:noProof/>
              </w:rPr>
              <w:t>40.82%</w:t>
            </w:r>
          </w:p>
        </w:tc>
        <w:tc>
          <w:tcPr>
            <w:tcW w:w="1000" w:type="dxa"/>
            <w:shd w:val="clear" w:color="auto" w:fill="BFBFBF" w:themeFill="background1" w:themeFillShade="BF"/>
          </w:tcPr>
          <w:p w:rsidR="002007F3" w:rsidRDefault="002007F3" w:rsidP="00B30B80">
            <w:pPr>
              <w:jc w:val="right"/>
              <w:rPr>
                <w:noProof/>
              </w:rPr>
            </w:pPr>
          </w:p>
        </w:tc>
      </w:tr>
      <w:tr w:rsidR="002007F3" w:rsidTr="00154242">
        <w:trPr>
          <w:tblHeader/>
        </w:trPr>
        <w:tc>
          <w:tcPr>
            <w:tcW w:w="5040" w:type="dxa"/>
          </w:tcPr>
          <w:p w:rsidR="002007F3" w:rsidRDefault="002007F3" w:rsidP="00B30B80">
            <w:pPr>
              <w:rPr>
                <w:rFonts w:ascii="Calibri" w:hAnsi="Calibri" w:cs="Calibri"/>
                <w:color w:val="000000"/>
              </w:rPr>
            </w:pPr>
            <w:r>
              <w:rPr>
                <w:rFonts w:ascii="Calibri" w:hAnsi="Calibri" w:cs="Calibri"/>
                <w:color w:val="000000"/>
              </w:rPr>
              <w:t>3S1: Post-Program Placement</w:t>
            </w: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tcPr>
          <w:p w:rsidR="002007F3" w:rsidRDefault="002007F3" w:rsidP="00B30B80">
            <w:pPr>
              <w:jc w:val="right"/>
              <w:rPr>
                <w:noProof/>
              </w:rPr>
            </w:pPr>
            <w:r>
              <w:rPr>
                <w:noProof/>
              </w:rPr>
              <w:t>53.73%</w:t>
            </w:r>
          </w:p>
        </w:tc>
        <w:tc>
          <w:tcPr>
            <w:tcW w:w="1000" w:type="dxa"/>
          </w:tcPr>
          <w:p w:rsidR="002007F3" w:rsidRDefault="002007F3" w:rsidP="00B30B80">
            <w:pPr>
              <w:jc w:val="right"/>
              <w:rPr>
                <w:noProof/>
              </w:rPr>
            </w:pPr>
            <w:r>
              <w:rPr>
                <w:noProof/>
              </w:rPr>
              <w:t>55.56%</w:t>
            </w:r>
          </w:p>
        </w:tc>
        <w:tc>
          <w:tcPr>
            <w:tcW w:w="1000" w:type="dxa"/>
          </w:tcPr>
          <w:p w:rsidR="002007F3" w:rsidRDefault="002007F3" w:rsidP="00B30B80">
            <w:pPr>
              <w:jc w:val="right"/>
              <w:rPr>
                <w:noProof/>
              </w:rPr>
            </w:pPr>
            <w:r>
              <w:rPr>
                <w:noProof/>
              </w:rPr>
              <w:t>53.09%</w:t>
            </w:r>
          </w:p>
        </w:tc>
        <w:tc>
          <w:tcPr>
            <w:tcW w:w="1000" w:type="dxa"/>
            <w:shd w:val="clear" w:color="auto" w:fill="BFBFBF" w:themeFill="background1" w:themeFillShade="BF"/>
          </w:tcPr>
          <w:p w:rsidR="002007F3" w:rsidRDefault="002007F3" w:rsidP="00B30B80">
            <w:pPr>
              <w:jc w:val="right"/>
              <w:rPr>
                <w:noProof/>
              </w:rPr>
            </w:pPr>
          </w:p>
        </w:tc>
      </w:tr>
      <w:tr w:rsidR="002007F3" w:rsidTr="00154242">
        <w:trPr>
          <w:tblHeader/>
        </w:trPr>
        <w:tc>
          <w:tcPr>
            <w:tcW w:w="5040" w:type="dxa"/>
          </w:tcPr>
          <w:p w:rsidR="002007F3" w:rsidRDefault="002007F3" w:rsidP="00B30B80">
            <w:pPr>
              <w:rPr>
                <w:rFonts w:ascii="Calibri" w:hAnsi="Calibri" w:cs="Calibri"/>
                <w:color w:val="000000"/>
              </w:rPr>
            </w:pPr>
            <w:r>
              <w:rPr>
                <w:rFonts w:ascii="Calibri" w:hAnsi="Calibri" w:cs="Calibri"/>
                <w:color w:val="000000"/>
              </w:rPr>
              <w:t>4S1: Nontraditional Program Concentration</w:t>
            </w: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tcPr>
          <w:p w:rsidR="002007F3" w:rsidRDefault="002007F3" w:rsidP="00B30B80">
            <w:pPr>
              <w:jc w:val="right"/>
              <w:rPr>
                <w:noProof/>
              </w:rPr>
            </w:pPr>
            <w:r>
              <w:rPr>
                <w:noProof/>
              </w:rPr>
              <w:t>33.91%</w:t>
            </w:r>
          </w:p>
        </w:tc>
        <w:tc>
          <w:tcPr>
            <w:tcW w:w="1000" w:type="dxa"/>
          </w:tcPr>
          <w:p w:rsidR="002007F3" w:rsidRDefault="002007F3" w:rsidP="00B30B80">
            <w:pPr>
              <w:jc w:val="right"/>
              <w:rPr>
                <w:noProof/>
              </w:rPr>
            </w:pPr>
            <w:r>
              <w:rPr>
                <w:noProof/>
              </w:rPr>
              <w:t>33.12%</w:t>
            </w:r>
          </w:p>
        </w:tc>
        <w:tc>
          <w:tcPr>
            <w:tcW w:w="1000" w:type="dxa"/>
          </w:tcPr>
          <w:p w:rsidR="002007F3" w:rsidRDefault="002007F3" w:rsidP="00B30B80">
            <w:pPr>
              <w:jc w:val="right"/>
              <w:rPr>
                <w:noProof/>
              </w:rPr>
            </w:pPr>
            <w:r>
              <w:rPr>
                <w:noProof/>
              </w:rPr>
              <w:t>32.98%</w:t>
            </w:r>
          </w:p>
        </w:tc>
        <w:tc>
          <w:tcPr>
            <w:tcW w:w="1000" w:type="dxa"/>
          </w:tcPr>
          <w:p w:rsidR="002007F3" w:rsidRDefault="002007F3" w:rsidP="00B30B80">
            <w:pPr>
              <w:jc w:val="right"/>
              <w:rPr>
                <w:noProof/>
              </w:rPr>
            </w:pPr>
            <w:r>
              <w:rPr>
                <w:noProof/>
              </w:rPr>
              <w:t>33.00%</w:t>
            </w:r>
          </w:p>
        </w:tc>
        <w:tc>
          <w:tcPr>
            <w:tcW w:w="1000" w:type="dxa"/>
            <w:shd w:val="clear" w:color="auto" w:fill="BFBFBF" w:themeFill="background1" w:themeFillShade="BF"/>
          </w:tcPr>
          <w:p w:rsidR="002007F3" w:rsidRDefault="002007F3" w:rsidP="00B30B80">
            <w:pPr>
              <w:jc w:val="right"/>
              <w:rPr>
                <w:noProof/>
              </w:rPr>
            </w:pPr>
          </w:p>
        </w:tc>
      </w:tr>
      <w:tr w:rsidR="002007F3" w:rsidTr="00154242">
        <w:trPr>
          <w:tblHeader/>
        </w:trPr>
        <w:tc>
          <w:tcPr>
            <w:tcW w:w="5040" w:type="dxa"/>
          </w:tcPr>
          <w:p w:rsidR="002007F3" w:rsidRDefault="002007F3" w:rsidP="00B30B80">
            <w:pPr>
              <w:rPr>
                <w:rFonts w:ascii="Calibri" w:hAnsi="Calibri" w:cs="Calibri"/>
                <w:color w:val="000000"/>
              </w:rPr>
            </w:pPr>
            <w:r>
              <w:rPr>
                <w:rFonts w:ascii="Calibri" w:hAnsi="Calibri" w:cs="Calibri"/>
                <w:color w:val="000000"/>
              </w:rPr>
              <w:t>5S3: Program Quality: Work-Based Learning</w:t>
            </w: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shd w:val="clear" w:color="auto" w:fill="BFBFBF" w:themeFill="background1" w:themeFillShade="BF"/>
          </w:tcPr>
          <w:p w:rsidR="002007F3" w:rsidRDefault="002007F3" w:rsidP="00B30B80">
            <w:pPr>
              <w:jc w:val="right"/>
              <w:rPr>
                <w:noProof/>
              </w:rPr>
            </w:pPr>
          </w:p>
        </w:tc>
        <w:tc>
          <w:tcPr>
            <w:tcW w:w="1000" w:type="dxa"/>
          </w:tcPr>
          <w:p w:rsidR="002007F3" w:rsidRDefault="002007F3" w:rsidP="00B30B80">
            <w:pPr>
              <w:jc w:val="right"/>
              <w:rPr>
                <w:noProof/>
              </w:rPr>
            </w:pPr>
            <w:r>
              <w:rPr>
                <w:noProof/>
              </w:rPr>
              <w:t>9.10%</w:t>
            </w:r>
          </w:p>
        </w:tc>
        <w:tc>
          <w:tcPr>
            <w:tcW w:w="1000" w:type="dxa"/>
          </w:tcPr>
          <w:p w:rsidR="002007F3" w:rsidRDefault="002007F3" w:rsidP="00B30B80">
            <w:pPr>
              <w:jc w:val="right"/>
              <w:rPr>
                <w:noProof/>
              </w:rPr>
            </w:pPr>
            <w:r>
              <w:rPr>
                <w:noProof/>
              </w:rPr>
              <w:t>14.48%</w:t>
            </w:r>
          </w:p>
        </w:tc>
        <w:tc>
          <w:tcPr>
            <w:tcW w:w="1000" w:type="dxa"/>
          </w:tcPr>
          <w:p w:rsidR="002007F3" w:rsidRDefault="002007F3" w:rsidP="00B30B80">
            <w:pPr>
              <w:jc w:val="right"/>
              <w:rPr>
                <w:noProof/>
              </w:rPr>
            </w:pPr>
            <w:r>
              <w:rPr>
                <w:noProof/>
              </w:rPr>
              <w:t>15.81%</w:t>
            </w:r>
          </w:p>
        </w:tc>
        <w:tc>
          <w:tcPr>
            <w:tcW w:w="1000" w:type="dxa"/>
          </w:tcPr>
          <w:p w:rsidR="002007F3" w:rsidRDefault="002007F3" w:rsidP="00B30B80">
            <w:pPr>
              <w:jc w:val="right"/>
              <w:rPr>
                <w:noProof/>
              </w:rPr>
            </w:pPr>
            <w:r>
              <w:rPr>
                <w:noProof/>
              </w:rPr>
              <w:t>16.45%</w:t>
            </w:r>
          </w:p>
        </w:tc>
        <w:tc>
          <w:tcPr>
            <w:tcW w:w="1000" w:type="dxa"/>
            <w:shd w:val="clear" w:color="auto" w:fill="BFBFBF" w:themeFill="background1" w:themeFillShade="BF"/>
          </w:tcPr>
          <w:p w:rsidR="002007F3" w:rsidRDefault="002007F3" w:rsidP="00B30B80">
            <w:pPr>
              <w:jc w:val="right"/>
              <w:rPr>
                <w:noProof/>
              </w:rPr>
            </w:pPr>
          </w:p>
        </w:tc>
      </w:tr>
      <w:tr w:rsidR="002007F3" w:rsidTr="00283922">
        <w:trPr>
          <w:tblHeader/>
        </w:trPr>
        <w:tc>
          <w:tcPr>
            <w:tcW w:w="5040" w:type="dxa"/>
            <w:tcBorders>
              <w:top w:val="single" w:sz="18" w:space="0" w:color="auto"/>
            </w:tcBorders>
          </w:tcPr>
          <w:p w:rsidR="002007F3" w:rsidRDefault="002007F3" w:rsidP="00B30B80">
            <w:pPr>
              <w:rPr>
                <w:rFonts w:ascii="Calibri" w:hAnsi="Calibri" w:cs="Calibri"/>
                <w:color w:val="000000"/>
              </w:rPr>
            </w:pPr>
            <w:r>
              <w:rPr>
                <w:rFonts w:ascii="Calibri" w:hAnsi="Calibri" w:cs="Calibri"/>
                <w:color w:val="000000"/>
              </w:rPr>
              <w:t>1P1: Postsecondary Retention and Placement</w:t>
            </w:r>
          </w:p>
        </w:tc>
        <w:tc>
          <w:tcPr>
            <w:tcW w:w="1000" w:type="dxa"/>
            <w:tcBorders>
              <w:top w:val="single" w:sz="18" w:space="0" w:color="auto"/>
            </w:tcBorders>
            <w:shd w:val="clear" w:color="auto" w:fill="BFBFBF" w:themeFill="background1" w:themeFillShade="BF"/>
          </w:tcPr>
          <w:p w:rsidR="002007F3" w:rsidRDefault="002007F3" w:rsidP="00B30B80">
            <w:pPr>
              <w:jc w:val="right"/>
            </w:pPr>
          </w:p>
        </w:tc>
        <w:tc>
          <w:tcPr>
            <w:tcW w:w="1000" w:type="dxa"/>
            <w:tcBorders>
              <w:top w:val="single" w:sz="18" w:space="0" w:color="auto"/>
            </w:tcBorders>
            <w:shd w:val="clear" w:color="auto" w:fill="BFBFBF" w:themeFill="background1" w:themeFillShade="BF"/>
          </w:tcPr>
          <w:p w:rsidR="002007F3" w:rsidRDefault="002007F3" w:rsidP="00B30B80">
            <w:pPr>
              <w:jc w:val="right"/>
            </w:pPr>
          </w:p>
        </w:tc>
        <w:tc>
          <w:tcPr>
            <w:tcW w:w="1000" w:type="dxa"/>
            <w:tcBorders>
              <w:top w:val="single" w:sz="18" w:space="0" w:color="auto"/>
            </w:tcBorders>
            <w:shd w:val="clear" w:color="auto" w:fill="BFBFBF" w:themeFill="background1" w:themeFillShade="BF"/>
          </w:tcPr>
          <w:p w:rsidR="002007F3" w:rsidRDefault="002007F3" w:rsidP="00B30B80">
            <w:pPr>
              <w:jc w:val="right"/>
            </w:pPr>
          </w:p>
        </w:tc>
        <w:tc>
          <w:tcPr>
            <w:tcW w:w="1000" w:type="dxa"/>
            <w:tcBorders>
              <w:top w:val="single" w:sz="18" w:space="0" w:color="auto"/>
            </w:tcBorders>
          </w:tcPr>
          <w:p w:rsidR="002007F3" w:rsidRDefault="002007F3" w:rsidP="00B30B80">
            <w:pPr>
              <w:jc w:val="right"/>
            </w:pPr>
            <w:r>
              <w:rPr>
                <w:noProof/>
              </w:rPr>
              <w:t>96.27%</w:t>
            </w:r>
          </w:p>
        </w:tc>
        <w:tc>
          <w:tcPr>
            <w:tcW w:w="1000" w:type="dxa"/>
            <w:tcBorders>
              <w:top w:val="single" w:sz="18" w:space="0" w:color="auto"/>
            </w:tcBorders>
          </w:tcPr>
          <w:p w:rsidR="002007F3" w:rsidRDefault="002007F3" w:rsidP="00B30B80">
            <w:pPr>
              <w:jc w:val="right"/>
            </w:pPr>
            <w:r>
              <w:rPr>
                <w:noProof/>
              </w:rPr>
              <w:t>94.84%</w:t>
            </w:r>
          </w:p>
        </w:tc>
        <w:tc>
          <w:tcPr>
            <w:tcW w:w="1000" w:type="dxa"/>
            <w:tcBorders>
              <w:top w:val="single" w:sz="18" w:space="0" w:color="auto"/>
            </w:tcBorders>
          </w:tcPr>
          <w:p w:rsidR="002007F3" w:rsidRDefault="002007F3" w:rsidP="00B30B80">
            <w:pPr>
              <w:jc w:val="right"/>
            </w:pPr>
            <w:r>
              <w:rPr>
                <w:noProof/>
              </w:rPr>
              <w:t>96.08%</w:t>
            </w:r>
          </w:p>
        </w:tc>
        <w:tc>
          <w:tcPr>
            <w:tcW w:w="1000" w:type="dxa"/>
            <w:tcBorders>
              <w:top w:val="single" w:sz="18" w:space="0" w:color="auto"/>
            </w:tcBorders>
          </w:tcPr>
          <w:p w:rsidR="002007F3" w:rsidRDefault="002007F3" w:rsidP="00B30B80">
            <w:pPr>
              <w:jc w:val="right"/>
            </w:pPr>
            <w:r>
              <w:rPr>
                <w:noProof/>
              </w:rPr>
              <w:t>94.65%</w:t>
            </w:r>
          </w:p>
        </w:tc>
        <w:tc>
          <w:tcPr>
            <w:tcW w:w="1000" w:type="dxa"/>
            <w:tcBorders>
              <w:top w:val="single" w:sz="18" w:space="0" w:color="auto"/>
            </w:tcBorders>
          </w:tcPr>
          <w:p w:rsidR="002007F3" w:rsidRDefault="002007F3" w:rsidP="00B30B80">
            <w:pPr>
              <w:jc w:val="right"/>
            </w:pPr>
            <w:r>
              <w:rPr>
                <w:noProof/>
              </w:rPr>
              <w:t>97.95%</w:t>
            </w:r>
          </w:p>
        </w:tc>
        <w:tc>
          <w:tcPr>
            <w:tcW w:w="1000" w:type="dxa"/>
            <w:tcBorders>
              <w:top w:val="single" w:sz="18" w:space="0" w:color="auto"/>
            </w:tcBorders>
          </w:tcPr>
          <w:p w:rsidR="002007F3" w:rsidRDefault="002007F3" w:rsidP="00B30B80">
            <w:pPr>
              <w:jc w:val="right"/>
            </w:pPr>
            <w:r>
              <w:rPr>
                <w:noProof/>
              </w:rPr>
              <w:t>95.98%</w:t>
            </w:r>
          </w:p>
        </w:tc>
      </w:tr>
      <w:tr w:rsidR="002007F3" w:rsidTr="00154242">
        <w:trPr>
          <w:tblHeader/>
        </w:trPr>
        <w:tc>
          <w:tcPr>
            <w:tcW w:w="5040" w:type="dxa"/>
          </w:tcPr>
          <w:p w:rsidR="002007F3" w:rsidRDefault="002007F3" w:rsidP="00B30B80">
            <w:pPr>
              <w:rPr>
                <w:rFonts w:ascii="Calibri" w:hAnsi="Calibri" w:cs="Calibri"/>
                <w:color w:val="000000"/>
              </w:rPr>
            </w:pPr>
            <w:r>
              <w:rPr>
                <w:rFonts w:ascii="Calibri" w:hAnsi="Calibri" w:cs="Calibri"/>
                <w:color w:val="000000"/>
              </w:rPr>
              <w:t>2P1: Earned Recognized Postsecondary Credential</w:t>
            </w:r>
          </w:p>
        </w:tc>
        <w:tc>
          <w:tcPr>
            <w:tcW w:w="1000" w:type="dxa"/>
            <w:shd w:val="clear" w:color="auto" w:fill="BFBFBF" w:themeFill="background1" w:themeFillShade="BF"/>
          </w:tcPr>
          <w:p w:rsidR="002007F3" w:rsidRDefault="002007F3" w:rsidP="00B30B80">
            <w:pPr>
              <w:jc w:val="right"/>
            </w:pPr>
          </w:p>
        </w:tc>
        <w:tc>
          <w:tcPr>
            <w:tcW w:w="1000" w:type="dxa"/>
            <w:shd w:val="clear" w:color="auto" w:fill="BFBFBF" w:themeFill="background1" w:themeFillShade="BF"/>
          </w:tcPr>
          <w:p w:rsidR="002007F3" w:rsidRDefault="002007F3" w:rsidP="00B30B80">
            <w:pPr>
              <w:jc w:val="right"/>
            </w:pPr>
          </w:p>
        </w:tc>
        <w:tc>
          <w:tcPr>
            <w:tcW w:w="1000" w:type="dxa"/>
          </w:tcPr>
          <w:p w:rsidR="002007F3" w:rsidRDefault="002007F3" w:rsidP="00B30B80">
            <w:pPr>
              <w:jc w:val="right"/>
            </w:pPr>
            <w:r>
              <w:rPr>
                <w:noProof/>
              </w:rPr>
              <w:t>38.21%</w:t>
            </w:r>
          </w:p>
        </w:tc>
        <w:tc>
          <w:tcPr>
            <w:tcW w:w="1000" w:type="dxa"/>
          </w:tcPr>
          <w:p w:rsidR="002007F3" w:rsidRDefault="002007F3" w:rsidP="00B30B80">
            <w:pPr>
              <w:jc w:val="right"/>
            </w:pPr>
            <w:r>
              <w:rPr>
                <w:noProof/>
              </w:rPr>
              <w:t>41.44%</w:t>
            </w:r>
          </w:p>
        </w:tc>
        <w:tc>
          <w:tcPr>
            <w:tcW w:w="1000" w:type="dxa"/>
          </w:tcPr>
          <w:p w:rsidR="002007F3" w:rsidRDefault="002007F3" w:rsidP="00B30B80">
            <w:pPr>
              <w:jc w:val="right"/>
            </w:pPr>
            <w:r>
              <w:rPr>
                <w:noProof/>
              </w:rPr>
              <w:t>43.71%</w:t>
            </w:r>
          </w:p>
        </w:tc>
        <w:tc>
          <w:tcPr>
            <w:tcW w:w="1000" w:type="dxa"/>
          </w:tcPr>
          <w:p w:rsidR="002007F3" w:rsidRDefault="002007F3" w:rsidP="00B30B80">
            <w:pPr>
              <w:jc w:val="right"/>
            </w:pPr>
            <w:r>
              <w:rPr>
                <w:noProof/>
              </w:rPr>
              <w:t>42.63%</w:t>
            </w:r>
          </w:p>
        </w:tc>
        <w:tc>
          <w:tcPr>
            <w:tcW w:w="1000" w:type="dxa"/>
          </w:tcPr>
          <w:p w:rsidR="002007F3" w:rsidRDefault="002007F3" w:rsidP="00B30B80">
            <w:pPr>
              <w:jc w:val="right"/>
            </w:pPr>
            <w:r>
              <w:rPr>
                <w:noProof/>
              </w:rPr>
              <w:t>51.23%</w:t>
            </w:r>
          </w:p>
        </w:tc>
        <w:tc>
          <w:tcPr>
            <w:tcW w:w="1000" w:type="dxa"/>
          </w:tcPr>
          <w:p w:rsidR="002007F3" w:rsidRDefault="002007F3" w:rsidP="00B30B80">
            <w:pPr>
              <w:jc w:val="right"/>
            </w:pPr>
            <w:r>
              <w:rPr>
                <w:noProof/>
              </w:rPr>
              <w:t>50.68%</w:t>
            </w:r>
          </w:p>
        </w:tc>
        <w:tc>
          <w:tcPr>
            <w:tcW w:w="1000" w:type="dxa"/>
          </w:tcPr>
          <w:p w:rsidR="002007F3" w:rsidRDefault="002007F3" w:rsidP="00B30B80">
            <w:pPr>
              <w:jc w:val="right"/>
            </w:pPr>
            <w:r>
              <w:rPr>
                <w:noProof/>
              </w:rPr>
              <w:t>55.30%</w:t>
            </w:r>
          </w:p>
        </w:tc>
      </w:tr>
      <w:tr w:rsidR="002007F3" w:rsidTr="00154242">
        <w:trPr>
          <w:tblHeader/>
        </w:trPr>
        <w:tc>
          <w:tcPr>
            <w:tcW w:w="5040" w:type="dxa"/>
          </w:tcPr>
          <w:p w:rsidR="002007F3" w:rsidRDefault="002007F3" w:rsidP="00B30B80">
            <w:pPr>
              <w:rPr>
                <w:rFonts w:ascii="Calibri" w:hAnsi="Calibri" w:cs="Calibri"/>
                <w:color w:val="000000"/>
              </w:rPr>
            </w:pPr>
            <w:r>
              <w:rPr>
                <w:rFonts w:ascii="Calibri" w:hAnsi="Calibri" w:cs="Calibri"/>
                <w:color w:val="000000"/>
              </w:rPr>
              <w:t>3P1: Nontraditional Program Enrollment</w:t>
            </w:r>
          </w:p>
        </w:tc>
        <w:tc>
          <w:tcPr>
            <w:tcW w:w="1000" w:type="dxa"/>
            <w:shd w:val="clear" w:color="auto" w:fill="BFBFBF" w:themeFill="background1" w:themeFillShade="BF"/>
          </w:tcPr>
          <w:p w:rsidR="002007F3" w:rsidRDefault="002007F3" w:rsidP="00B30B80">
            <w:pPr>
              <w:jc w:val="right"/>
            </w:pPr>
          </w:p>
        </w:tc>
        <w:tc>
          <w:tcPr>
            <w:tcW w:w="1000" w:type="dxa"/>
            <w:shd w:val="clear" w:color="auto" w:fill="BFBFBF" w:themeFill="background1" w:themeFillShade="BF"/>
          </w:tcPr>
          <w:p w:rsidR="002007F3" w:rsidRDefault="002007F3" w:rsidP="00B30B80">
            <w:pPr>
              <w:jc w:val="right"/>
            </w:pPr>
          </w:p>
        </w:tc>
        <w:tc>
          <w:tcPr>
            <w:tcW w:w="1000" w:type="dxa"/>
          </w:tcPr>
          <w:p w:rsidR="002007F3" w:rsidRDefault="002007F3" w:rsidP="00B30B80">
            <w:pPr>
              <w:jc w:val="right"/>
            </w:pPr>
            <w:r>
              <w:rPr>
                <w:noProof/>
              </w:rPr>
              <w:t>8.35%</w:t>
            </w:r>
          </w:p>
        </w:tc>
        <w:tc>
          <w:tcPr>
            <w:tcW w:w="1000" w:type="dxa"/>
          </w:tcPr>
          <w:p w:rsidR="002007F3" w:rsidRDefault="002007F3" w:rsidP="00B30B80">
            <w:pPr>
              <w:jc w:val="right"/>
            </w:pPr>
            <w:r>
              <w:rPr>
                <w:noProof/>
              </w:rPr>
              <w:t>10.23%</w:t>
            </w:r>
          </w:p>
        </w:tc>
        <w:tc>
          <w:tcPr>
            <w:tcW w:w="1000" w:type="dxa"/>
          </w:tcPr>
          <w:p w:rsidR="002007F3" w:rsidRDefault="002007F3" w:rsidP="00B30B80">
            <w:pPr>
              <w:jc w:val="right"/>
            </w:pPr>
            <w:r>
              <w:rPr>
                <w:noProof/>
              </w:rPr>
              <w:t>11.34%</w:t>
            </w:r>
          </w:p>
        </w:tc>
        <w:tc>
          <w:tcPr>
            <w:tcW w:w="1000" w:type="dxa"/>
          </w:tcPr>
          <w:p w:rsidR="002007F3" w:rsidRDefault="002007F3" w:rsidP="00B30B80">
            <w:pPr>
              <w:jc w:val="right"/>
            </w:pPr>
            <w:r>
              <w:rPr>
                <w:noProof/>
              </w:rPr>
              <w:t>11.03%</w:t>
            </w:r>
          </w:p>
        </w:tc>
        <w:tc>
          <w:tcPr>
            <w:tcW w:w="1000" w:type="dxa"/>
          </w:tcPr>
          <w:p w:rsidR="002007F3" w:rsidRDefault="002007F3" w:rsidP="00B30B80">
            <w:pPr>
              <w:jc w:val="right"/>
            </w:pPr>
            <w:r>
              <w:rPr>
                <w:noProof/>
              </w:rPr>
              <w:t>11.45%</w:t>
            </w:r>
          </w:p>
        </w:tc>
        <w:tc>
          <w:tcPr>
            <w:tcW w:w="1000" w:type="dxa"/>
          </w:tcPr>
          <w:p w:rsidR="002007F3" w:rsidRDefault="002007F3" w:rsidP="00B30B80">
            <w:pPr>
              <w:jc w:val="right"/>
            </w:pPr>
            <w:r>
              <w:rPr>
                <w:noProof/>
              </w:rPr>
              <w:t>8.13%</w:t>
            </w:r>
          </w:p>
        </w:tc>
        <w:tc>
          <w:tcPr>
            <w:tcW w:w="1000" w:type="dxa"/>
          </w:tcPr>
          <w:p w:rsidR="002007F3" w:rsidRDefault="002007F3" w:rsidP="00B30B80">
            <w:pPr>
              <w:jc w:val="right"/>
            </w:pPr>
            <w:r>
              <w:rPr>
                <w:noProof/>
              </w:rPr>
              <w:t>10.21%</w:t>
            </w:r>
          </w:p>
        </w:tc>
      </w:tr>
    </w:tbl>
    <w:p w:rsidR="002007F3" w:rsidRDefault="002007F3" w:rsidP="003D4029">
      <w:pPr>
        <w:spacing w:after="0" w:line="240" w:lineRule="auto"/>
        <w:sectPr w:rsidR="002007F3" w:rsidSect="00A4354A">
          <w:pgSz w:w="15840" w:h="12240" w:orient="landscape" w:code="1"/>
          <w:pgMar w:top="540" w:right="720" w:bottom="810" w:left="720" w:header="720" w:footer="720" w:gutter="0"/>
          <w:pgNumType w:start="1"/>
          <w:cols w:space="720"/>
          <w:docGrid w:linePitch="360"/>
        </w:sectPr>
      </w:pPr>
      <w:r>
        <w:t xml:space="preserve">*Note: Levels of performance are pending approval of the state plan. Grant Year 1 is reported in 2021, Grant Year 2 is 2022, etc. Modeled historical data were created using </w:t>
      </w:r>
      <w:r w:rsidRPr="00C56564">
        <w:t>Perkins V definitions</w:t>
      </w:r>
      <w:r>
        <w:t xml:space="preserve">. Years shown in the historical data table are </w:t>
      </w:r>
      <w:r w:rsidRPr="00AB635F">
        <w:rPr>
          <w:i/>
        </w:rPr>
        <w:t>reporting years</w:t>
      </w:r>
      <w:r>
        <w:t>. For all secondary indicators, reporting years are the same as school years. For postsecondary indicators 2P1 and 3P1 reporting years are the last year of the cohort (e.g. reporting year 2013 is cohort 2011-2013). For postsecondary indicator 1P1, reporting years are one year after the last year of the cohort (e.g. reporting year 2014 is cohort 2011-2013.</w:t>
      </w:r>
    </w:p>
    <w:p w:rsidR="002007F3" w:rsidRDefault="002007F3" w:rsidP="003D4029">
      <w:pPr>
        <w:spacing w:after="0" w:line="240" w:lineRule="auto"/>
      </w:pPr>
    </w:p>
    <w:sectPr w:rsidR="002007F3" w:rsidSect="002007F3">
      <w:type w:val="continuous"/>
      <w:pgSz w:w="15840" w:h="12240" w:orient="landscape" w:code="1"/>
      <w:pgMar w:top="540" w:right="720" w:bottom="81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75"/>
    <w:rsid w:val="00026794"/>
    <w:rsid w:val="00054442"/>
    <w:rsid w:val="0006393E"/>
    <w:rsid w:val="00070B5F"/>
    <w:rsid w:val="00074403"/>
    <w:rsid w:val="00091A62"/>
    <w:rsid w:val="000936CB"/>
    <w:rsid w:val="000B2EE6"/>
    <w:rsid w:val="000C644C"/>
    <w:rsid w:val="000C7FDC"/>
    <w:rsid w:val="000E4005"/>
    <w:rsid w:val="000F3EDD"/>
    <w:rsid w:val="001071F8"/>
    <w:rsid w:val="00135CC1"/>
    <w:rsid w:val="0015158A"/>
    <w:rsid w:val="00154242"/>
    <w:rsid w:val="001671F8"/>
    <w:rsid w:val="001827AB"/>
    <w:rsid w:val="001B7DFE"/>
    <w:rsid w:val="001C0FCF"/>
    <w:rsid w:val="001C1EDA"/>
    <w:rsid w:val="001D741D"/>
    <w:rsid w:val="002007F3"/>
    <w:rsid w:val="002123DA"/>
    <w:rsid w:val="002246F4"/>
    <w:rsid w:val="00225645"/>
    <w:rsid w:val="00246726"/>
    <w:rsid w:val="00246CF5"/>
    <w:rsid w:val="00281AB0"/>
    <w:rsid w:val="00283922"/>
    <w:rsid w:val="00287BBA"/>
    <w:rsid w:val="002B303E"/>
    <w:rsid w:val="002B328C"/>
    <w:rsid w:val="002B4B18"/>
    <w:rsid w:val="002E2659"/>
    <w:rsid w:val="00302215"/>
    <w:rsid w:val="00307C72"/>
    <w:rsid w:val="003350D6"/>
    <w:rsid w:val="00343E88"/>
    <w:rsid w:val="00346A6C"/>
    <w:rsid w:val="00350DDE"/>
    <w:rsid w:val="00364583"/>
    <w:rsid w:val="003932E5"/>
    <w:rsid w:val="003A5E96"/>
    <w:rsid w:val="003A75DE"/>
    <w:rsid w:val="003D4029"/>
    <w:rsid w:val="004004F0"/>
    <w:rsid w:val="004233F1"/>
    <w:rsid w:val="00440A20"/>
    <w:rsid w:val="0044549C"/>
    <w:rsid w:val="00483A43"/>
    <w:rsid w:val="004841A3"/>
    <w:rsid w:val="00485171"/>
    <w:rsid w:val="004D21BA"/>
    <w:rsid w:val="004E3781"/>
    <w:rsid w:val="004E3A2F"/>
    <w:rsid w:val="00516AFE"/>
    <w:rsid w:val="005205AB"/>
    <w:rsid w:val="0052206C"/>
    <w:rsid w:val="005220CE"/>
    <w:rsid w:val="00531D3F"/>
    <w:rsid w:val="00555E42"/>
    <w:rsid w:val="0056018D"/>
    <w:rsid w:val="00571EC8"/>
    <w:rsid w:val="00580C38"/>
    <w:rsid w:val="00582BA3"/>
    <w:rsid w:val="005834D5"/>
    <w:rsid w:val="005A6840"/>
    <w:rsid w:val="005B5BBF"/>
    <w:rsid w:val="005C7030"/>
    <w:rsid w:val="0060674C"/>
    <w:rsid w:val="00614ACA"/>
    <w:rsid w:val="00615528"/>
    <w:rsid w:val="0063353E"/>
    <w:rsid w:val="006415A9"/>
    <w:rsid w:val="006B28A8"/>
    <w:rsid w:val="006E44AB"/>
    <w:rsid w:val="006E621D"/>
    <w:rsid w:val="006F4514"/>
    <w:rsid w:val="0070093B"/>
    <w:rsid w:val="00701FA4"/>
    <w:rsid w:val="00716351"/>
    <w:rsid w:val="00716461"/>
    <w:rsid w:val="00725A0B"/>
    <w:rsid w:val="00726DC2"/>
    <w:rsid w:val="007625FB"/>
    <w:rsid w:val="007634C9"/>
    <w:rsid w:val="00780D87"/>
    <w:rsid w:val="007858C9"/>
    <w:rsid w:val="007E3092"/>
    <w:rsid w:val="007E55B0"/>
    <w:rsid w:val="00831547"/>
    <w:rsid w:val="00863291"/>
    <w:rsid w:val="00866F46"/>
    <w:rsid w:val="0086757C"/>
    <w:rsid w:val="008677D4"/>
    <w:rsid w:val="008829D0"/>
    <w:rsid w:val="00890499"/>
    <w:rsid w:val="008B402E"/>
    <w:rsid w:val="008B435E"/>
    <w:rsid w:val="008B6DAC"/>
    <w:rsid w:val="008D14EE"/>
    <w:rsid w:val="008F5696"/>
    <w:rsid w:val="00923888"/>
    <w:rsid w:val="00952D17"/>
    <w:rsid w:val="00955DEF"/>
    <w:rsid w:val="00962AB0"/>
    <w:rsid w:val="009B2F6E"/>
    <w:rsid w:val="009C4C54"/>
    <w:rsid w:val="009D449D"/>
    <w:rsid w:val="009E60BD"/>
    <w:rsid w:val="00A23B9D"/>
    <w:rsid w:val="00A3260C"/>
    <w:rsid w:val="00A37B53"/>
    <w:rsid w:val="00A4354A"/>
    <w:rsid w:val="00A52DF4"/>
    <w:rsid w:val="00A53D2C"/>
    <w:rsid w:val="00A830A8"/>
    <w:rsid w:val="00A8374B"/>
    <w:rsid w:val="00A8392F"/>
    <w:rsid w:val="00AB635F"/>
    <w:rsid w:val="00AC0BDD"/>
    <w:rsid w:val="00AE208D"/>
    <w:rsid w:val="00AE48AA"/>
    <w:rsid w:val="00AF5E61"/>
    <w:rsid w:val="00B06AFA"/>
    <w:rsid w:val="00B30B80"/>
    <w:rsid w:val="00B50675"/>
    <w:rsid w:val="00B72285"/>
    <w:rsid w:val="00B93601"/>
    <w:rsid w:val="00B96E81"/>
    <w:rsid w:val="00BA02B7"/>
    <w:rsid w:val="00BC7696"/>
    <w:rsid w:val="00BE0203"/>
    <w:rsid w:val="00C56564"/>
    <w:rsid w:val="00C6260D"/>
    <w:rsid w:val="00C81468"/>
    <w:rsid w:val="00C90A99"/>
    <w:rsid w:val="00C920F0"/>
    <w:rsid w:val="00CA1624"/>
    <w:rsid w:val="00CD4C11"/>
    <w:rsid w:val="00D0590A"/>
    <w:rsid w:val="00D16732"/>
    <w:rsid w:val="00D33CB4"/>
    <w:rsid w:val="00D3427F"/>
    <w:rsid w:val="00D660E2"/>
    <w:rsid w:val="00D943A8"/>
    <w:rsid w:val="00DA319B"/>
    <w:rsid w:val="00DC5147"/>
    <w:rsid w:val="00E32402"/>
    <w:rsid w:val="00E3264A"/>
    <w:rsid w:val="00E647E5"/>
    <w:rsid w:val="00E7639F"/>
    <w:rsid w:val="00E931FA"/>
    <w:rsid w:val="00EA1EE7"/>
    <w:rsid w:val="00EC4DB5"/>
    <w:rsid w:val="00ED3A6B"/>
    <w:rsid w:val="00ED47EC"/>
    <w:rsid w:val="00EF1669"/>
    <w:rsid w:val="00EF652B"/>
    <w:rsid w:val="00F15906"/>
    <w:rsid w:val="00F323A7"/>
    <w:rsid w:val="00F6233E"/>
    <w:rsid w:val="00F654B8"/>
    <w:rsid w:val="00F677E6"/>
    <w:rsid w:val="00F752AF"/>
    <w:rsid w:val="00F85F85"/>
    <w:rsid w:val="00F971B7"/>
    <w:rsid w:val="00FA4C7A"/>
    <w:rsid w:val="00FA7C9A"/>
    <w:rsid w:val="00FC7173"/>
    <w:rsid w:val="00FD7CD9"/>
    <w:rsid w:val="00FE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83702-A305-4237-8415-20E0442B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36CB"/>
    <w:pPr>
      <w:autoSpaceDE w:val="0"/>
      <w:spacing w:after="0" w:line="240" w:lineRule="auto"/>
      <w:jc w:val="center"/>
      <w:outlineLvl w:val="0"/>
    </w:pPr>
    <w:rPr>
      <w:b/>
      <w:sz w:val="32"/>
      <w:szCs w:val="32"/>
    </w:rPr>
  </w:style>
  <w:style w:type="paragraph" w:styleId="Heading2">
    <w:name w:val="heading 2"/>
    <w:basedOn w:val="Normal"/>
    <w:next w:val="Normal"/>
    <w:link w:val="Heading2Char"/>
    <w:uiPriority w:val="9"/>
    <w:unhideWhenUsed/>
    <w:qFormat/>
    <w:rsid w:val="00F752AF"/>
    <w:pPr>
      <w:spacing w:after="0" w:line="240" w:lineRule="auto"/>
      <w:jc w:val="center"/>
      <w:outlineLvl w:val="1"/>
    </w:pPr>
    <w:rPr>
      <w:b/>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36CB"/>
    <w:rPr>
      <w:b/>
      <w:sz w:val="32"/>
      <w:szCs w:val="32"/>
    </w:rPr>
  </w:style>
  <w:style w:type="character" w:customStyle="1" w:styleId="Heading2Char">
    <w:name w:val="Heading 2 Char"/>
    <w:basedOn w:val="DefaultParagraphFont"/>
    <w:link w:val="Heading2"/>
    <w:uiPriority w:val="9"/>
    <w:rsid w:val="00F752AF"/>
    <w:rPr>
      <w:b/>
      <w:noProof/>
      <w:sz w:val="28"/>
      <w:szCs w:val="28"/>
    </w:rPr>
  </w:style>
  <w:style w:type="paragraph" w:styleId="BalloonText">
    <w:name w:val="Balloon Text"/>
    <w:basedOn w:val="Normal"/>
    <w:link w:val="BalloonTextChar"/>
    <w:uiPriority w:val="99"/>
    <w:semiHidden/>
    <w:unhideWhenUsed/>
    <w:rsid w:val="00867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Consortium Levels of Performance</vt:lpstr>
    </vt:vector>
  </TitlesOfParts>
  <Manager/>
  <Company>Minnesota State Colleges and Universities</Company>
  <LinksUpToDate>false</LinksUpToDate>
  <CharactersWithSpaces>2870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Levels of Performance</dc:title>
  <dc:subject>Consortium Levels of Performance</dc:subject>
  <dc:creator>Tabatha Ries-Miller</dc:creator>
  <cp:keywords>research</cp:keywords>
  <dc:description/>
  <cp:lastModifiedBy>Ediger, Kari-Ann (MDE)</cp:lastModifiedBy>
  <cp:revision>3</cp:revision>
  <cp:lastPrinted>2019-11-18T21:09:00Z</cp:lastPrinted>
  <dcterms:created xsi:type="dcterms:W3CDTF">2019-12-19T19:47:00Z</dcterms:created>
  <dcterms:modified xsi:type="dcterms:W3CDTF">2019-12-23T14:51:00Z</dcterms:modified>
  <cp:category>research</cp:category>
</cp:coreProperties>
</file>