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13E" w:rsidRDefault="00F463DE" w:rsidP="004B313E">
      <w:pPr>
        <w:spacing w:after="0" w:line="240" w:lineRule="auto"/>
        <w:rPr>
          <w:rFonts w:ascii="Cambria" w:hAnsi="Cambria"/>
          <w:b/>
          <w:sz w:val="32"/>
          <w:szCs w:val="32"/>
        </w:rPr>
      </w:pPr>
      <w:bookmarkStart w:id="0" w:name="_GoBack"/>
      <w:bookmarkEnd w:id="0"/>
      <w:r>
        <w:rPr>
          <w:rFonts w:ascii="Cambria" w:hAnsi="Cambria"/>
          <w:b/>
          <w:noProof/>
          <w:sz w:val="32"/>
          <w:szCs w:val="32"/>
        </w:rPr>
        <w:drawing>
          <wp:anchor distT="0" distB="0" distL="114300" distR="114300" simplePos="0" relativeHeight="251657728" behindDoc="1" locked="0" layoutInCell="1" allowOverlap="1">
            <wp:simplePos x="0" y="0"/>
            <wp:positionH relativeFrom="column">
              <wp:posOffset>-228600</wp:posOffset>
            </wp:positionH>
            <wp:positionV relativeFrom="paragraph">
              <wp:posOffset>-400050</wp:posOffset>
            </wp:positionV>
            <wp:extent cx="866775" cy="1333500"/>
            <wp:effectExtent l="0" t="0" r="9525" b="0"/>
            <wp:wrapNone/>
            <wp:docPr id="2" name="Picture 0" descr="MnSCUlogoH.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nSCUlogoH.color.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33500"/>
                    </a:xfrm>
                    <a:prstGeom prst="rect">
                      <a:avLst/>
                    </a:prstGeom>
                    <a:noFill/>
                  </pic:spPr>
                </pic:pic>
              </a:graphicData>
            </a:graphic>
            <wp14:sizeRelH relativeFrom="page">
              <wp14:pctWidth>0</wp14:pctWidth>
            </wp14:sizeRelH>
            <wp14:sizeRelV relativeFrom="page">
              <wp14:pctHeight>0</wp14:pctHeight>
            </wp14:sizeRelV>
          </wp:anchor>
        </w:drawing>
      </w:r>
      <w:r w:rsidR="00797B4E">
        <w:rPr>
          <w:rFonts w:ascii="Cambria" w:hAnsi="Cambria"/>
          <w:b/>
          <w:sz w:val="32"/>
          <w:szCs w:val="32"/>
        </w:rPr>
        <w:t xml:space="preserve"> </w:t>
      </w:r>
    </w:p>
    <w:p w:rsidR="007F6462" w:rsidRPr="00797B4E" w:rsidRDefault="007F6462" w:rsidP="004617EB">
      <w:pPr>
        <w:spacing w:after="0" w:line="240" w:lineRule="auto"/>
        <w:ind w:left="1800"/>
        <w:rPr>
          <w:rFonts w:ascii="Cambria" w:hAnsi="Cambria"/>
          <w:b/>
          <w:sz w:val="28"/>
          <w:szCs w:val="28"/>
        </w:rPr>
      </w:pPr>
      <w:r w:rsidRPr="00797B4E">
        <w:rPr>
          <w:rFonts w:ascii="Cambria" w:hAnsi="Cambria"/>
          <w:b/>
          <w:sz w:val="28"/>
          <w:szCs w:val="28"/>
        </w:rPr>
        <w:t>Payment Card Industry (PCI) Data Security Standard (DSS)</w:t>
      </w:r>
      <w:r w:rsidR="00797B4E">
        <w:rPr>
          <w:rFonts w:ascii="Cambria" w:hAnsi="Cambria"/>
          <w:b/>
          <w:sz w:val="28"/>
          <w:szCs w:val="28"/>
        </w:rPr>
        <w:t>:</w:t>
      </w:r>
      <w:r w:rsidRPr="00797B4E">
        <w:rPr>
          <w:rFonts w:ascii="Cambria" w:hAnsi="Cambria"/>
          <w:b/>
          <w:sz w:val="28"/>
          <w:szCs w:val="28"/>
        </w:rPr>
        <w:t xml:space="preserve"> </w:t>
      </w:r>
    </w:p>
    <w:p w:rsidR="007F6462" w:rsidRPr="00797B4E" w:rsidRDefault="007F6462" w:rsidP="004617EB">
      <w:pPr>
        <w:spacing w:after="0" w:line="240" w:lineRule="auto"/>
        <w:ind w:left="1440" w:firstLine="360"/>
        <w:rPr>
          <w:rFonts w:ascii="Cambria" w:hAnsi="Cambria"/>
          <w:b/>
          <w:sz w:val="28"/>
          <w:szCs w:val="28"/>
        </w:rPr>
      </w:pPr>
      <w:r w:rsidRPr="00797B4E">
        <w:rPr>
          <w:rFonts w:ascii="Cambria" w:hAnsi="Cambria"/>
          <w:b/>
          <w:sz w:val="28"/>
          <w:szCs w:val="28"/>
        </w:rPr>
        <w:t xml:space="preserve">Ensuring Compliance </w:t>
      </w:r>
      <w:r w:rsidR="00AA1A12" w:rsidRPr="00797B4E">
        <w:rPr>
          <w:rFonts w:ascii="Cambria" w:hAnsi="Cambria"/>
          <w:b/>
          <w:sz w:val="28"/>
          <w:szCs w:val="28"/>
        </w:rPr>
        <w:t>W</w:t>
      </w:r>
      <w:r w:rsidRPr="00797B4E">
        <w:rPr>
          <w:rFonts w:ascii="Cambria" w:hAnsi="Cambria"/>
          <w:b/>
          <w:sz w:val="28"/>
          <w:szCs w:val="28"/>
        </w:rPr>
        <w:t xml:space="preserve">hen </w:t>
      </w:r>
      <w:r w:rsidR="00AA1A12" w:rsidRPr="00797B4E">
        <w:rPr>
          <w:rFonts w:ascii="Cambria" w:hAnsi="Cambria"/>
          <w:b/>
          <w:sz w:val="28"/>
          <w:szCs w:val="28"/>
        </w:rPr>
        <w:t>D</w:t>
      </w:r>
      <w:r w:rsidRPr="00797B4E">
        <w:rPr>
          <w:rFonts w:ascii="Cambria" w:hAnsi="Cambria"/>
          <w:b/>
          <w:sz w:val="28"/>
          <w:szCs w:val="28"/>
        </w:rPr>
        <w:t xml:space="preserve">rafting RFPs and </w:t>
      </w:r>
      <w:r w:rsidR="00A76E10" w:rsidRPr="00797B4E">
        <w:rPr>
          <w:rFonts w:ascii="Cambria" w:hAnsi="Cambria"/>
          <w:b/>
          <w:sz w:val="28"/>
          <w:szCs w:val="28"/>
        </w:rPr>
        <w:t>Contracts</w:t>
      </w:r>
    </w:p>
    <w:p w:rsidR="006F38E8" w:rsidRPr="007F6462" w:rsidRDefault="007F6462" w:rsidP="004617EB">
      <w:pPr>
        <w:spacing w:after="0" w:line="240" w:lineRule="auto"/>
        <w:ind w:left="1440" w:firstLine="360"/>
        <w:rPr>
          <w:b/>
          <w:sz w:val="28"/>
          <w:szCs w:val="28"/>
        </w:rPr>
      </w:pPr>
      <w:r>
        <w:rPr>
          <w:b/>
          <w:sz w:val="28"/>
          <w:szCs w:val="28"/>
        </w:rPr>
        <w:t>_______________________________________________________</w:t>
      </w:r>
      <w:r w:rsidR="006F38E8" w:rsidRPr="007F6462">
        <w:rPr>
          <w:b/>
          <w:sz w:val="28"/>
          <w:szCs w:val="28"/>
        </w:rPr>
        <w:t xml:space="preserve"> </w:t>
      </w:r>
    </w:p>
    <w:p w:rsidR="008C31E7" w:rsidRDefault="008C31E7" w:rsidP="008C31E7">
      <w:pPr>
        <w:spacing w:after="0" w:line="240" w:lineRule="auto"/>
        <w:ind w:left="360"/>
        <w:rPr>
          <w:b/>
        </w:rPr>
      </w:pPr>
    </w:p>
    <w:p w:rsidR="004617EB" w:rsidRDefault="004617EB" w:rsidP="008C31E7">
      <w:pPr>
        <w:spacing w:after="0" w:line="240" w:lineRule="auto"/>
        <w:ind w:left="360"/>
        <w:rPr>
          <w:b/>
        </w:rPr>
      </w:pPr>
    </w:p>
    <w:p w:rsidR="002402D1" w:rsidRPr="00925F03" w:rsidRDefault="002402D1" w:rsidP="00F32DE0">
      <w:pPr>
        <w:numPr>
          <w:ilvl w:val="0"/>
          <w:numId w:val="2"/>
        </w:numPr>
        <w:spacing w:after="0" w:line="240" w:lineRule="auto"/>
        <w:rPr>
          <w:rFonts w:ascii="Cambria" w:hAnsi="Cambria"/>
          <w:b/>
        </w:rPr>
      </w:pPr>
      <w:r w:rsidRPr="00925F03">
        <w:rPr>
          <w:rFonts w:ascii="Cambria" w:hAnsi="Cambria"/>
          <w:b/>
        </w:rPr>
        <w:t xml:space="preserve">What </w:t>
      </w:r>
      <w:r w:rsidR="001A679C" w:rsidRPr="00925F03">
        <w:rPr>
          <w:rFonts w:ascii="Cambria" w:hAnsi="Cambria"/>
          <w:b/>
        </w:rPr>
        <w:t xml:space="preserve">is </w:t>
      </w:r>
      <w:r w:rsidRPr="00925F03">
        <w:rPr>
          <w:rFonts w:ascii="Cambria" w:hAnsi="Cambria"/>
          <w:b/>
        </w:rPr>
        <w:t>PCI DSS?</w:t>
      </w:r>
    </w:p>
    <w:p w:rsidR="001A679C" w:rsidRPr="004617EB" w:rsidRDefault="001A679C" w:rsidP="0087531D">
      <w:pPr>
        <w:spacing w:after="0" w:line="240" w:lineRule="auto"/>
        <w:ind w:left="360"/>
        <w:rPr>
          <w:rFonts w:ascii="Calibri" w:hAnsi="Calibri"/>
          <w:sz w:val="22"/>
          <w:szCs w:val="22"/>
        </w:rPr>
      </w:pPr>
      <w:r w:rsidRPr="004617EB">
        <w:rPr>
          <w:rFonts w:ascii="Calibri" w:hAnsi="Calibri"/>
          <w:sz w:val="22"/>
          <w:szCs w:val="22"/>
        </w:rPr>
        <w:t xml:space="preserve">PCI DSS is a set of global data security standards designed to protect payment card account numbers.  Any payment card (credit, debit, prepaid, stored value, gift or chip) bearing the logo of one of five payment brands is required to be protected as prescribed by the standards.  The brands are: </w:t>
      </w:r>
      <w:r w:rsidR="00AA1A12" w:rsidRPr="004617EB">
        <w:rPr>
          <w:rFonts w:ascii="Calibri" w:hAnsi="Calibri"/>
          <w:sz w:val="22"/>
          <w:szCs w:val="22"/>
        </w:rPr>
        <w:t xml:space="preserve"> </w:t>
      </w:r>
      <w:r w:rsidRPr="004617EB">
        <w:rPr>
          <w:rFonts w:ascii="Calibri" w:hAnsi="Calibri"/>
          <w:sz w:val="22"/>
          <w:szCs w:val="22"/>
        </w:rPr>
        <w:t>American Express, Discover, JCB, MasterCard and Visa.</w:t>
      </w:r>
      <w:r w:rsidR="004617EB">
        <w:rPr>
          <w:rFonts w:ascii="Calibri" w:hAnsi="Calibri"/>
          <w:sz w:val="22"/>
          <w:szCs w:val="22"/>
        </w:rPr>
        <w:t xml:space="preserve"> </w:t>
      </w:r>
      <w:r w:rsidR="004617EB" w:rsidRPr="004617EB">
        <w:rPr>
          <w:rFonts w:ascii="Calibri" w:hAnsi="Calibri"/>
          <w:sz w:val="22"/>
          <w:szCs w:val="22"/>
        </w:rPr>
        <w:t xml:space="preserve"> </w:t>
      </w:r>
      <w:r w:rsidRPr="004617EB">
        <w:rPr>
          <w:rFonts w:ascii="Calibri" w:hAnsi="Calibri"/>
          <w:sz w:val="22"/>
          <w:szCs w:val="22"/>
        </w:rPr>
        <w:t xml:space="preserve">Specifically, PCI DSS requirements are applicable if a Primary Account Number (PAN) is stored, processed, or transmitted. </w:t>
      </w:r>
      <w:r w:rsidR="00AA1A12" w:rsidRPr="004617EB">
        <w:rPr>
          <w:rFonts w:ascii="Calibri" w:hAnsi="Calibri"/>
          <w:sz w:val="22"/>
          <w:szCs w:val="22"/>
        </w:rPr>
        <w:t xml:space="preserve"> </w:t>
      </w:r>
      <w:r w:rsidRPr="004617EB">
        <w:rPr>
          <w:rFonts w:ascii="Calibri" w:hAnsi="Calibri"/>
          <w:sz w:val="22"/>
          <w:szCs w:val="22"/>
        </w:rPr>
        <w:t>If PAN is not stored, processed, or transmitted, PCI DSS requirements do not apply.  Storage includes any type of recording (paper or electronic.)</w:t>
      </w:r>
    </w:p>
    <w:p w:rsidR="00F32DE0" w:rsidRPr="004617EB" w:rsidRDefault="00F32DE0" w:rsidP="00F32DE0">
      <w:pPr>
        <w:spacing w:after="0" w:line="240" w:lineRule="auto"/>
        <w:ind w:left="360"/>
        <w:rPr>
          <w:rFonts w:ascii="Calibri" w:hAnsi="Calibri"/>
          <w:sz w:val="22"/>
          <w:szCs w:val="22"/>
        </w:rPr>
      </w:pPr>
    </w:p>
    <w:p w:rsidR="001A679C" w:rsidRPr="00925F03" w:rsidRDefault="007F6462" w:rsidP="00F32DE0">
      <w:pPr>
        <w:pStyle w:val="ListParagraph"/>
        <w:numPr>
          <w:ilvl w:val="0"/>
          <w:numId w:val="2"/>
        </w:numPr>
        <w:spacing w:after="0" w:line="240" w:lineRule="auto"/>
        <w:rPr>
          <w:rFonts w:ascii="Cambria" w:hAnsi="Cambria"/>
          <w:b/>
        </w:rPr>
      </w:pPr>
      <w:r w:rsidRPr="00925F03">
        <w:rPr>
          <w:rFonts w:ascii="Cambria" w:hAnsi="Cambria"/>
          <w:b/>
        </w:rPr>
        <w:t>When drafting any RFP</w:t>
      </w:r>
      <w:r w:rsidR="00F32DE0" w:rsidRPr="00925F03">
        <w:rPr>
          <w:rFonts w:ascii="Cambria" w:hAnsi="Cambria"/>
          <w:b/>
        </w:rPr>
        <w:t xml:space="preserve"> or initiating or </w:t>
      </w:r>
      <w:r w:rsidRPr="00925F03">
        <w:rPr>
          <w:rFonts w:ascii="Cambria" w:hAnsi="Cambria"/>
          <w:b/>
        </w:rPr>
        <w:t xml:space="preserve">renewing any </w:t>
      </w:r>
      <w:r w:rsidR="001A679C" w:rsidRPr="00925F03">
        <w:rPr>
          <w:rFonts w:ascii="Cambria" w:hAnsi="Cambria"/>
          <w:b/>
        </w:rPr>
        <w:t>agreement</w:t>
      </w:r>
      <w:r w:rsidRPr="00925F03">
        <w:rPr>
          <w:rFonts w:ascii="Cambria" w:hAnsi="Cambria"/>
          <w:b/>
        </w:rPr>
        <w:t xml:space="preserve">, ask: </w:t>
      </w:r>
    </w:p>
    <w:p w:rsidR="001A679C" w:rsidRPr="004617EB" w:rsidRDefault="007F6462" w:rsidP="000C63D4">
      <w:pPr>
        <w:spacing w:line="240" w:lineRule="auto"/>
        <w:ind w:left="720"/>
        <w:rPr>
          <w:rFonts w:ascii="Calibri" w:hAnsi="Calibri"/>
          <w:i/>
          <w:sz w:val="22"/>
          <w:szCs w:val="22"/>
        </w:rPr>
      </w:pPr>
      <w:r w:rsidRPr="004617EB">
        <w:rPr>
          <w:rFonts w:ascii="Calibri" w:hAnsi="Calibri"/>
          <w:i/>
          <w:sz w:val="22"/>
          <w:szCs w:val="22"/>
        </w:rPr>
        <w:t xml:space="preserve"> “Will the services sought under the RFP or procured under the contract involve the storage, processing o</w:t>
      </w:r>
      <w:r w:rsidR="00F32DE0" w:rsidRPr="004617EB">
        <w:rPr>
          <w:rFonts w:ascii="Calibri" w:hAnsi="Calibri"/>
          <w:i/>
          <w:sz w:val="22"/>
          <w:szCs w:val="22"/>
        </w:rPr>
        <w:t>r transmittal</w:t>
      </w:r>
      <w:r w:rsidRPr="004617EB">
        <w:rPr>
          <w:rFonts w:ascii="Calibri" w:hAnsi="Calibri"/>
          <w:i/>
          <w:sz w:val="22"/>
          <w:szCs w:val="22"/>
        </w:rPr>
        <w:t xml:space="preserve"> of payment card account numbers?” </w:t>
      </w:r>
    </w:p>
    <w:p w:rsidR="00E412C8" w:rsidRPr="004617EB" w:rsidRDefault="007F6462" w:rsidP="00E412C8">
      <w:pPr>
        <w:numPr>
          <w:ilvl w:val="0"/>
          <w:numId w:val="7"/>
        </w:numPr>
        <w:spacing w:line="240" w:lineRule="auto"/>
        <w:rPr>
          <w:rFonts w:ascii="Calibri" w:hAnsi="Calibri"/>
          <w:i/>
          <w:sz w:val="22"/>
          <w:szCs w:val="22"/>
        </w:rPr>
      </w:pPr>
      <w:r w:rsidRPr="004617EB">
        <w:rPr>
          <w:rFonts w:ascii="Calibri" w:hAnsi="Calibri"/>
          <w:b/>
          <w:i/>
          <w:sz w:val="22"/>
          <w:szCs w:val="22"/>
        </w:rPr>
        <w:t>If the answer is yes,</w:t>
      </w:r>
      <w:r w:rsidRPr="004617EB">
        <w:rPr>
          <w:rFonts w:ascii="Calibri" w:hAnsi="Calibri"/>
          <w:sz w:val="22"/>
          <w:szCs w:val="22"/>
        </w:rPr>
        <w:t xml:space="preserve"> PCI DSS </w:t>
      </w:r>
      <w:r w:rsidR="008C31E7" w:rsidRPr="004617EB">
        <w:rPr>
          <w:rFonts w:ascii="Calibri" w:hAnsi="Calibri"/>
          <w:sz w:val="22"/>
          <w:szCs w:val="22"/>
        </w:rPr>
        <w:t xml:space="preserve">requirements </w:t>
      </w:r>
      <w:r w:rsidRPr="004617EB">
        <w:rPr>
          <w:rFonts w:ascii="Calibri" w:hAnsi="Calibri"/>
          <w:sz w:val="22"/>
          <w:szCs w:val="22"/>
        </w:rPr>
        <w:t xml:space="preserve">are applicable.  </w:t>
      </w:r>
      <w:r w:rsidR="00F32DE0" w:rsidRPr="004617EB">
        <w:rPr>
          <w:rFonts w:ascii="Calibri" w:hAnsi="Calibri"/>
          <w:sz w:val="22"/>
          <w:szCs w:val="22"/>
        </w:rPr>
        <w:t>You need to t</w:t>
      </w:r>
      <w:r w:rsidRPr="004617EB">
        <w:rPr>
          <w:rFonts w:ascii="Calibri" w:hAnsi="Calibri"/>
          <w:sz w:val="22"/>
          <w:szCs w:val="22"/>
        </w:rPr>
        <w:t xml:space="preserve">ake steps to include </w:t>
      </w:r>
      <w:r w:rsidR="00F32DE0" w:rsidRPr="004617EB">
        <w:rPr>
          <w:rFonts w:ascii="Calibri" w:hAnsi="Calibri"/>
          <w:sz w:val="22"/>
          <w:szCs w:val="22"/>
        </w:rPr>
        <w:t xml:space="preserve">specific </w:t>
      </w:r>
      <w:r w:rsidRPr="004617EB">
        <w:rPr>
          <w:rFonts w:ascii="Calibri" w:hAnsi="Calibri"/>
          <w:sz w:val="22"/>
          <w:szCs w:val="22"/>
        </w:rPr>
        <w:t>references to PCI</w:t>
      </w:r>
      <w:r w:rsidR="0008349E" w:rsidRPr="004617EB">
        <w:rPr>
          <w:rFonts w:ascii="Calibri" w:hAnsi="Calibri"/>
          <w:sz w:val="22"/>
          <w:szCs w:val="22"/>
        </w:rPr>
        <w:t xml:space="preserve"> </w:t>
      </w:r>
      <w:r w:rsidRPr="004617EB">
        <w:rPr>
          <w:rFonts w:ascii="Calibri" w:hAnsi="Calibri"/>
          <w:sz w:val="22"/>
          <w:szCs w:val="22"/>
        </w:rPr>
        <w:t xml:space="preserve">DSS in both the RFP and the </w:t>
      </w:r>
      <w:r w:rsidR="00E412C8" w:rsidRPr="004617EB">
        <w:rPr>
          <w:rFonts w:ascii="Calibri" w:hAnsi="Calibri"/>
          <w:sz w:val="22"/>
          <w:szCs w:val="22"/>
        </w:rPr>
        <w:t xml:space="preserve">subsequent </w:t>
      </w:r>
      <w:r w:rsidR="001A679C" w:rsidRPr="004617EB">
        <w:rPr>
          <w:rFonts w:ascii="Calibri" w:hAnsi="Calibri"/>
          <w:sz w:val="22"/>
          <w:szCs w:val="22"/>
        </w:rPr>
        <w:t>agreement</w:t>
      </w:r>
      <w:r w:rsidR="00AF118B" w:rsidRPr="004617EB">
        <w:rPr>
          <w:rFonts w:ascii="Calibri" w:hAnsi="Calibri"/>
          <w:sz w:val="22"/>
          <w:szCs w:val="22"/>
        </w:rPr>
        <w:t xml:space="preserve"> and ensure that any vendor selected meets the referenced obligations.</w:t>
      </w:r>
      <w:r w:rsidRPr="004617EB">
        <w:rPr>
          <w:rFonts w:ascii="Calibri" w:hAnsi="Calibri"/>
          <w:i/>
          <w:sz w:val="22"/>
          <w:szCs w:val="22"/>
        </w:rPr>
        <w:t xml:space="preserve">  </w:t>
      </w:r>
    </w:p>
    <w:p w:rsidR="00E412C8" w:rsidRPr="004617EB" w:rsidRDefault="00953645" w:rsidP="00E412C8">
      <w:pPr>
        <w:numPr>
          <w:ilvl w:val="0"/>
          <w:numId w:val="7"/>
        </w:numPr>
        <w:spacing w:line="240" w:lineRule="auto"/>
        <w:rPr>
          <w:rFonts w:ascii="Calibri" w:hAnsi="Calibri"/>
          <w:sz w:val="22"/>
          <w:szCs w:val="22"/>
        </w:rPr>
      </w:pPr>
      <w:r w:rsidRPr="004617EB">
        <w:rPr>
          <w:rFonts w:ascii="Calibri" w:hAnsi="Calibri"/>
          <w:b/>
          <w:i/>
          <w:sz w:val="22"/>
          <w:szCs w:val="22"/>
        </w:rPr>
        <w:t>If the answer is no,</w:t>
      </w:r>
      <w:r w:rsidRPr="004617EB">
        <w:rPr>
          <w:rFonts w:ascii="Calibri" w:hAnsi="Calibri"/>
          <w:sz w:val="22"/>
          <w:szCs w:val="22"/>
        </w:rPr>
        <w:t xml:space="preserve"> PCI DSS requirements are not applicable.  </w:t>
      </w:r>
    </w:p>
    <w:p w:rsidR="00953645" w:rsidRPr="004617EB" w:rsidRDefault="00953645" w:rsidP="00E412C8">
      <w:pPr>
        <w:numPr>
          <w:ilvl w:val="0"/>
          <w:numId w:val="7"/>
        </w:numPr>
        <w:spacing w:line="240" w:lineRule="auto"/>
        <w:rPr>
          <w:rFonts w:ascii="Calibri" w:hAnsi="Calibri"/>
          <w:sz w:val="22"/>
          <w:szCs w:val="22"/>
        </w:rPr>
      </w:pPr>
      <w:r w:rsidRPr="004617EB">
        <w:rPr>
          <w:rFonts w:ascii="Calibri" w:hAnsi="Calibri"/>
          <w:b/>
          <w:i/>
          <w:sz w:val="22"/>
          <w:szCs w:val="22"/>
        </w:rPr>
        <w:t xml:space="preserve">If you </w:t>
      </w:r>
      <w:r w:rsidR="00E412C8" w:rsidRPr="004617EB">
        <w:rPr>
          <w:rFonts w:ascii="Calibri" w:hAnsi="Calibri"/>
          <w:b/>
          <w:i/>
          <w:sz w:val="22"/>
          <w:szCs w:val="22"/>
        </w:rPr>
        <w:t xml:space="preserve">are unsure, </w:t>
      </w:r>
      <w:r w:rsidRPr="004617EB">
        <w:rPr>
          <w:rFonts w:ascii="Calibri" w:hAnsi="Calibri"/>
          <w:sz w:val="22"/>
          <w:szCs w:val="22"/>
        </w:rPr>
        <w:t>contact your campus CFO.</w:t>
      </w:r>
    </w:p>
    <w:p w:rsidR="00953645" w:rsidRPr="00925F03" w:rsidRDefault="00953645" w:rsidP="00953645">
      <w:pPr>
        <w:pStyle w:val="ListParagraph"/>
        <w:numPr>
          <w:ilvl w:val="0"/>
          <w:numId w:val="2"/>
        </w:numPr>
        <w:rPr>
          <w:rFonts w:ascii="Cambria" w:hAnsi="Cambria"/>
        </w:rPr>
      </w:pPr>
      <w:r w:rsidRPr="00925F03">
        <w:rPr>
          <w:rFonts w:ascii="Cambria" w:hAnsi="Cambria"/>
          <w:b/>
        </w:rPr>
        <w:t xml:space="preserve">What specific terms need to be incorporated into </w:t>
      </w:r>
      <w:r w:rsidR="0008349E" w:rsidRPr="00925F03">
        <w:rPr>
          <w:rFonts w:ascii="Cambria" w:hAnsi="Cambria"/>
          <w:b/>
        </w:rPr>
        <w:t xml:space="preserve">existing contracts, </w:t>
      </w:r>
      <w:r w:rsidRPr="00925F03">
        <w:rPr>
          <w:rFonts w:ascii="Cambria" w:hAnsi="Cambria"/>
          <w:b/>
        </w:rPr>
        <w:t xml:space="preserve">RFPs </w:t>
      </w:r>
      <w:r w:rsidR="00F32DE0" w:rsidRPr="00925F03">
        <w:rPr>
          <w:rFonts w:ascii="Cambria" w:hAnsi="Cambria"/>
          <w:b/>
        </w:rPr>
        <w:t xml:space="preserve">and </w:t>
      </w:r>
      <w:r w:rsidR="0008349E" w:rsidRPr="00925F03">
        <w:rPr>
          <w:rFonts w:ascii="Cambria" w:hAnsi="Cambria"/>
          <w:b/>
        </w:rPr>
        <w:t xml:space="preserve">new </w:t>
      </w:r>
      <w:r w:rsidR="00F32DE0" w:rsidRPr="00925F03">
        <w:rPr>
          <w:rFonts w:ascii="Cambria" w:hAnsi="Cambria"/>
          <w:b/>
        </w:rPr>
        <w:t>agreements</w:t>
      </w:r>
      <w:r w:rsidRPr="00925F03">
        <w:rPr>
          <w:rFonts w:ascii="Cambria" w:hAnsi="Cambria"/>
          <w:b/>
        </w:rPr>
        <w:t>?</w:t>
      </w:r>
      <w:r w:rsidRPr="00925F03">
        <w:rPr>
          <w:rFonts w:ascii="Cambria" w:hAnsi="Cambria"/>
        </w:rPr>
        <w:tab/>
      </w:r>
    </w:p>
    <w:p w:rsidR="0008349E" w:rsidRPr="004617EB" w:rsidRDefault="0008349E" w:rsidP="0087531D">
      <w:pPr>
        <w:pStyle w:val="ListParagraph"/>
        <w:numPr>
          <w:ilvl w:val="0"/>
          <w:numId w:val="14"/>
        </w:numPr>
        <w:spacing w:line="240" w:lineRule="auto"/>
        <w:ind w:left="1080"/>
        <w:rPr>
          <w:rFonts w:ascii="Calibri" w:hAnsi="Calibri"/>
          <w:sz w:val="22"/>
          <w:szCs w:val="22"/>
        </w:rPr>
      </w:pPr>
      <w:r w:rsidRPr="004617EB">
        <w:rPr>
          <w:rFonts w:ascii="Cambria" w:hAnsi="Cambria"/>
          <w:b/>
          <w:sz w:val="22"/>
          <w:szCs w:val="22"/>
        </w:rPr>
        <w:t>Existing contracts.</w:t>
      </w:r>
      <w:r w:rsidRPr="004617EB">
        <w:rPr>
          <w:rFonts w:ascii="Times New" w:hAnsi="Times New"/>
          <w:b/>
          <w:sz w:val="22"/>
          <w:szCs w:val="22"/>
        </w:rPr>
        <w:t xml:space="preserve">  </w:t>
      </w:r>
      <w:r w:rsidRPr="004617EB">
        <w:rPr>
          <w:rFonts w:ascii="Calibri" w:hAnsi="Calibri"/>
          <w:sz w:val="22"/>
          <w:szCs w:val="22"/>
        </w:rPr>
        <w:t>Approach vendor to amend contract to add PCI DSS</w:t>
      </w:r>
    </w:p>
    <w:p w:rsidR="0008349E" w:rsidRPr="004617EB" w:rsidRDefault="0008349E" w:rsidP="0087531D">
      <w:pPr>
        <w:pStyle w:val="ListParagraph"/>
        <w:spacing w:line="240" w:lineRule="auto"/>
        <w:ind w:left="990"/>
        <w:rPr>
          <w:rFonts w:ascii="Calibri" w:hAnsi="Calibri"/>
          <w:sz w:val="22"/>
          <w:szCs w:val="22"/>
        </w:rPr>
      </w:pPr>
      <w:r w:rsidRPr="004617EB">
        <w:rPr>
          <w:rFonts w:ascii="Calibri" w:hAnsi="Calibri"/>
          <w:sz w:val="22"/>
          <w:szCs w:val="22"/>
        </w:rPr>
        <w:t xml:space="preserve">responsibilities.  Amendments must be in writing and signed by both parties.  A form amendment is provided </w:t>
      </w:r>
      <w:r w:rsidR="00E237AD">
        <w:rPr>
          <w:rFonts w:ascii="Calibri" w:hAnsi="Calibri"/>
          <w:sz w:val="22"/>
          <w:szCs w:val="22"/>
        </w:rPr>
        <w:t xml:space="preserve">on the Office of the Chancellor Finance division Web site.  </w:t>
      </w:r>
      <w:r w:rsidRPr="004617EB">
        <w:rPr>
          <w:rFonts w:ascii="Calibri" w:hAnsi="Calibri"/>
          <w:sz w:val="22"/>
          <w:szCs w:val="22"/>
        </w:rPr>
        <w:t xml:space="preserve"> </w:t>
      </w:r>
      <w:r w:rsidR="00E237AD">
        <w:rPr>
          <w:rFonts w:ascii="Calibri" w:hAnsi="Calibri"/>
          <w:sz w:val="22"/>
          <w:szCs w:val="22"/>
        </w:rPr>
        <w:t xml:space="preserve">        </w:t>
      </w:r>
      <w:r w:rsidRPr="004617EB">
        <w:rPr>
          <w:rFonts w:ascii="Calibri" w:hAnsi="Calibri"/>
          <w:sz w:val="22"/>
          <w:szCs w:val="22"/>
        </w:rPr>
        <w:t>Contact the Office of General Counsel or the Attorney General’s Office with questions.</w:t>
      </w:r>
    </w:p>
    <w:p w:rsidR="0008349E" w:rsidRPr="004617EB" w:rsidRDefault="0008349E" w:rsidP="00C7611C">
      <w:pPr>
        <w:pStyle w:val="ListParagraph"/>
        <w:ind w:left="360"/>
        <w:rPr>
          <w:rFonts w:ascii="Cambria" w:hAnsi="Cambria"/>
          <w:sz w:val="22"/>
          <w:szCs w:val="22"/>
        </w:rPr>
      </w:pPr>
    </w:p>
    <w:p w:rsidR="00B8314E" w:rsidRPr="004617EB" w:rsidRDefault="00B8314E" w:rsidP="004617EB">
      <w:pPr>
        <w:pStyle w:val="ListParagraph"/>
        <w:numPr>
          <w:ilvl w:val="0"/>
          <w:numId w:val="14"/>
        </w:numPr>
        <w:ind w:left="1080"/>
        <w:rPr>
          <w:sz w:val="22"/>
          <w:szCs w:val="22"/>
        </w:rPr>
      </w:pPr>
      <w:r w:rsidRPr="004617EB">
        <w:rPr>
          <w:rFonts w:ascii="Cambria" w:hAnsi="Cambria"/>
          <w:b/>
          <w:sz w:val="22"/>
          <w:szCs w:val="22"/>
        </w:rPr>
        <w:t>RFP</w:t>
      </w:r>
      <w:r w:rsidR="00953645" w:rsidRPr="004617EB">
        <w:rPr>
          <w:rFonts w:ascii="Cambria" w:hAnsi="Cambria"/>
          <w:b/>
          <w:sz w:val="22"/>
          <w:szCs w:val="22"/>
        </w:rPr>
        <w:t xml:space="preserve"> and New Contracts:</w:t>
      </w:r>
      <w:r w:rsidRPr="004617EB">
        <w:rPr>
          <w:b/>
          <w:sz w:val="22"/>
          <w:szCs w:val="22"/>
        </w:rPr>
        <w:t xml:space="preserve">  </w:t>
      </w:r>
      <w:r w:rsidR="00953645" w:rsidRPr="004617EB">
        <w:rPr>
          <w:rFonts w:ascii="Calibri" w:hAnsi="Calibri"/>
          <w:sz w:val="22"/>
          <w:szCs w:val="22"/>
        </w:rPr>
        <w:t>Include following terms:</w:t>
      </w:r>
      <w:r w:rsidR="00953645" w:rsidRPr="004617EB">
        <w:rPr>
          <w:sz w:val="22"/>
          <w:szCs w:val="22"/>
        </w:rPr>
        <w:t xml:space="preserve"> </w:t>
      </w:r>
    </w:p>
    <w:p w:rsidR="008C31E7" w:rsidRPr="004617EB" w:rsidRDefault="008C31E7" w:rsidP="008C31E7">
      <w:pPr>
        <w:pStyle w:val="ListParagraph"/>
        <w:spacing w:line="240" w:lineRule="auto"/>
        <w:ind w:left="630"/>
        <w:rPr>
          <w:rFonts w:ascii="Times New" w:hAnsi="Times New"/>
          <w:sz w:val="22"/>
          <w:szCs w:val="22"/>
        </w:rPr>
      </w:pPr>
    </w:p>
    <w:tbl>
      <w:tblPr>
        <w:tblW w:w="9288"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8C31E7" w:rsidRPr="004617EB" w:rsidTr="00084BD1">
        <w:tc>
          <w:tcPr>
            <w:tcW w:w="9288" w:type="dxa"/>
          </w:tcPr>
          <w:p w:rsidR="008C31E7" w:rsidRPr="004617EB" w:rsidRDefault="008C31E7" w:rsidP="00054DE0">
            <w:pPr>
              <w:pStyle w:val="ListParagraph"/>
              <w:spacing w:after="0" w:line="240" w:lineRule="auto"/>
              <w:ind w:left="0"/>
              <w:rPr>
                <w:rFonts w:ascii="Calibri" w:hAnsi="Calibri"/>
                <w:sz w:val="22"/>
                <w:szCs w:val="22"/>
                <w:u w:val="single"/>
              </w:rPr>
            </w:pPr>
            <w:r w:rsidRPr="004617EB">
              <w:rPr>
                <w:rFonts w:ascii="Calibri" w:hAnsi="Calibri"/>
                <w:sz w:val="22"/>
                <w:szCs w:val="22"/>
              </w:rPr>
              <w:t xml:space="preserve">“Vendor agrees to establish security procedures to protect cardholder data and comply with the Payment Card Industry Data Security Standard.  Vendor can find details of the PCI DSS at </w:t>
            </w:r>
            <w:hyperlink r:id="rId9" w:history="1">
              <w:r w:rsidRPr="004617EB">
                <w:rPr>
                  <w:rStyle w:val="Hyperlink"/>
                  <w:rFonts w:ascii="Calibri" w:hAnsi="Calibri"/>
                  <w:sz w:val="22"/>
                  <w:szCs w:val="22"/>
                </w:rPr>
                <w:t>https://www.pcisecuritystandards.org/security_standards/pci_dss.shtml</w:t>
              </w:r>
            </w:hyperlink>
            <w:r w:rsidRPr="004617EB">
              <w:rPr>
                <w:rFonts w:ascii="Calibri" w:hAnsi="Calibri"/>
                <w:sz w:val="22"/>
                <w:szCs w:val="22"/>
                <w:u w:val="single"/>
              </w:rPr>
              <w:t xml:space="preserve"> .</w:t>
            </w:r>
          </w:p>
          <w:p w:rsidR="008C31E7" w:rsidRPr="004617EB" w:rsidRDefault="008C31E7" w:rsidP="00054DE0">
            <w:pPr>
              <w:pStyle w:val="ListParagraph"/>
              <w:spacing w:after="0" w:line="240" w:lineRule="auto"/>
              <w:ind w:left="0"/>
              <w:rPr>
                <w:rFonts w:ascii="Calibri" w:hAnsi="Calibri"/>
                <w:sz w:val="22"/>
                <w:szCs w:val="22"/>
              </w:rPr>
            </w:pPr>
            <w:r w:rsidRPr="004617EB">
              <w:rPr>
                <w:rFonts w:ascii="Calibri" w:hAnsi="Calibri"/>
                <w:sz w:val="22"/>
                <w:szCs w:val="22"/>
              </w:rPr>
              <w:t xml:space="preserve"> </w:t>
            </w:r>
          </w:p>
          <w:p w:rsidR="008C31E7" w:rsidRPr="004617EB" w:rsidRDefault="00B34031" w:rsidP="0008349E">
            <w:pPr>
              <w:pStyle w:val="ListParagraph"/>
              <w:spacing w:after="0" w:line="240" w:lineRule="auto"/>
              <w:ind w:left="0"/>
              <w:rPr>
                <w:rFonts w:ascii="Times New" w:hAnsi="Times New"/>
                <w:sz w:val="22"/>
                <w:szCs w:val="22"/>
              </w:rPr>
            </w:pPr>
            <w:r>
              <w:rPr>
                <w:rFonts w:ascii="Calibri" w:hAnsi="Calibri"/>
                <w:sz w:val="22"/>
                <w:szCs w:val="22"/>
              </w:rPr>
              <w:t>“</w:t>
            </w:r>
            <w:r w:rsidR="008C31E7" w:rsidRPr="004617EB">
              <w:rPr>
                <w:rFonts w:ascii="Calibri" w:hAnsi="Calibri"/>
                <w:sz w:val="22"/>
                <w:szCs w:val="22"/>
              </w:rPr>
              <w:t>Vendor agrees to comply with all applicable laws that require the notification of individuals in the event of unauthorized release of cardholder data.  In the event of a breach of any of Vendor's security obligations or other event requiring notification under applicable law, Vendor agrees to assume responsibility for informing all such individuals in accordance with applicable law and to indemnify, hold harmless and defend Minnesota State Colleges and Universities and [College or University] and its trustees, officers, and employees from and against any claims, damages, or other harm related to such a breach.”</w:t>
            </w:r>
          </w:p>
        </w:tc>
      </w:tr>
    </w:tbl>
    <w:p w:rsidR="008C31E7" w:rsidRPr="004617EB" w:rsidRDefault="008C31E7" w:rsidP="008C31E7">
      <w:pPr>
        <w:pStyle w:val="ListParagraph"/>
        <w:spacing w:line="240" w:lineRule="auto"/>
        <w:ind w:left="630"/>
        <w:rPr>
          <w:rFonts w:ascii="Times New" w:hAnsi="Times New"/>
          <w:sz w:val="22"/>
          <w:szCs w:val="22"/>
        </w:rPr>
      </w:pPr>
    </w:p>
    <w:p w:rsidR="00061755" w:rsidRPr="00925F03" w:rsidRDefault="00061755" w:rsidP="002F126C">
      <w:pPr>
        <w:pStyle w:val="ListParagraph"/>
        <w:numPr>
          <w:ilvl w:val="0"/>
          <w:numId w:val="2"/>
        </w:numPr>
        <w:spacing w:after="0" w:line="240" w:lineRule="auto"/>
        <w:rPr>
          <w:rFonts w:ascii="Cambria" w:hAnsi="Cambria"/>
          <w:b/>
        </w:rPr>
      </w:pPr>
      <w:r w:rsidRPr="00925F03">
        <w:rPr>
          <w:rFonts w:ascii="Cambria" w:hAnsi="Cambria"/>
          <w:b/>
        </w:rPr>
        <w:t>How do I determine whether a vendor or prospective vendor is PCI-compliant?</w:t>
      </w:r>
    </w:p>
    <w:p w:rsidR="0008349E" w:rsidRPr="004617EB" w:rsidRDefault="00B2175D" w:rsidP="0008349E">
      <w:pPr>
        <w:spacing w:after="0" w:line="240" w:lineRule="auto"/>
        <w:ind w:left="360"/>
        <w:rPr>
          <w:rFonts w:ascii="Calibri" w:hAnsi="Calibri"/>
          <w:sz w:val="22"/>
          <w:szCs w:val="22"/>
        </w:rPr>
      </w:pPr>
      <w:r w:rsidRPr="004617EB">
        <w:rPr>
          <w:rFonts w:ascii="Calibri" w:hAnsi="Calibri"/>
          <w:sz w:val="22"/>
          <w:szCs w:val="22"/>
        </w:rPr>
        <w:lastRenderedPageBreak/>
        <w:t xml:space="preserve">In order to accept payment cards, a </w:t>
      </w:r>
      <w:r w:rsidR="00084BD1" w:rsidRPr="004617EB">
        <w:rPr>
          <w:rFonts w:ascii="Calibri" w:hAnsi="Calibri"/>
          <w:sz w:val="22"/>
          <w:szCs w:val="22"/>
        </w:rPr>
        <w:t>merchant (</w:t>
      </w:r>
      <w:r w:rsidR="002F126C" w:rsidRPr="004617EB">
        <w:rPr>
          <w:rFonts w:ascii="Calibri" w:hAnsi="Calibri"/>
          <w:sz w:val="22"/>
          <w:szCs w:val="22"/>
        </w:rPr>
        <w:t>your vendor</w:t>
      </w:r>
      <w:r w:rsidR="00C7611C" w:rsidRPr="004617EB">
        <w:rPr>
          <w:rFonts w:ascii="Calibri" w:hAnsi="Calibri"/>
          <w:sz w:val="22"/>
          <w:szCs w:val="22"/>
        </w:rPr>
        <w:t>)</w:t>
      </w:r>
      <w:r w:rsidR="002F126C" w:rsidRPr="004617EB">
        <w:rPr>
          <w:rFonts w:ascii="Calibri" w:hAnsi="Calibri"/>
          <w:sz w:val="22"/>
          <w:szCs w:val="22"/>
        </w:rPr>
        <w:t xml:space="preserve"> </w:t>
      </w:r>
      <w:r w:rsidRPr="004617EB">
        <w:rPr>
          <w:rFonts w:ascii="Calibri" w:hAnsi="Calibri"/>
          <w:sz w:val="22"/>
          <w:szCs w:val="22"/>
        </w:rPr>
        <w:t xml:space="preserve">must enter into a contract with </w:t>
      </w:r>
      <w:r w:rsidR="00C7611C" w:rsidRPr="004617EB">
        <w:rPr>
          <w:rFonts w:ascii="Calibri" w:hAnsi="Calibri"/>
          <w:sz w:val="22"/>
          <w:szCs w:val="22"/>
        </w:rPr>
        <w:t>its</w:t>
      </w:r>
      <w:r w:rsidR="00DB0375" w:rsidRPr="004617EB">
        <w:rPr>
          <w:rFonts w:ascii="Calibri" w:hAnsi="Calibri"/>
          <w:sz w:val="22"/>
          <w:szCs w:val="22"/>
        </w:rPr>
        <w:t xml:space="preserve"> </w:t>
      </w:r>
      <w:r w:rsidR="00D80525" w:rsidRPr="004617EB">
        <w:rPr>
          <w:rFonts w:ascii="Calibri" w:hAnsi="Calibri"/>
          <w:sz w:val="22"/>
          <w:szCs w:val="22"/>
        </w:rPr>
        <w:t>acquiring</w:t>
      </w:r>
      <w:r w:rsidR="00DB0375" w:rsidRPr="004617EB">
        <w:rPr>
          <w:rFonts w:ascii="Calibri" w:hAnsi="Calibri"/>
          <w:sz w:val="22"/>
          <w:szCs w:val="22"/>
        </w:rPr>
        <w:t xml:space="preserve"> bank, </w:t>
      </w:r>
      <w:r w:rsidR="00777D31" w:rsidRPr="004617EB">
        <w:rPr>
          <w:rFonts w:ascii="Calibri" w:hAnsi="Calibri"/>
          <w:sz w:val="22"/>
          <w:szCs w:val="22"/>
        </w:rPr>
        <w:t>which</w:t>
      </w:r>
      <w:r w:rsidR="00C7611C" w:rsidRPr="004617EB">
        <w:rPr>
          <w:rFonts w:ascii="Calibri" w:hAnsi="Calibri"/>
          <w:sz w:val="22"/>
          <w:szCs w:val="22"/>
        </w:rPr>
        <w:t xml:space="preserve">, in turn, </w:t>
      </w:r>
      <w:r w:rsidR="00DB0375" w:rsidRPr="004617EB">
        <w:rPr>
          <w:rFonts w:ascii="Calibri" w:hAnsi="Calibri"/>
          <w:sz w:val="22"/>
          <w:szCs w:val="22"/>
        </w:rPr>
        <w:t>ha</w:t>
      </w:r>
      <w:r w:rsidR="00795874" w:rsidRPr="004617EB">
        <w:rPr>
          <w:rFonts w:ascii="Calibri" w:hAnsi="Calibri"/>
          <w:sz w:val="22"/>
          <w:szCs w:val="22"/>
        </w:rPr>
        <w:t>s</w:t>
      </w:r>
      <w:r w:rsidR="00DB0375" w:rsidRPr="004617EB">
        <w:rPr>
          <w:rFonts w:ascii="Calibri" w:hAnsi="Calibri"/>
          <w:sz w:val="22"/>
          <w:szCs w:val="22"/>
        </w:rPr>
        <w:t xml:space="preserve"> contracts with the</w:t>
      </w:r>
      <w:r w:rsidRPr="004617EB">
        <w:rPr>
          <w:rFonts w:ascii="Calibri" w:hAnsi="Calibri"/>
          <w:sz w:val="22"/>
          <w:szCs w:val="22"/>
        </w:rPr>
        <w:t xml:space="preserve"> payment card brand</w:t>
      </w:r>
      <w:r w:rsidR="00DB0375" w:rsidRPr="004617EB">
        <w:rPr>
          <w:rFonts w:ascii="Calibri" w:hAnsi="Calibri"/>
          <w:sz w:val="22"/>
          <w:szCs w:val="22"/>
        </w:rPr>
        <w:t>s</w:t>
      </w:r>
      <w:r w:rsidRPr="004617EB">
        <w:rPr>
          <w:rFonts w:ascii="Calibri" w:hAnsi="Calibri"/>
          <w:sz w:val="22"/>
          <w:szCs w:val="22"/>
        </w:rPr>
        <w:t>.  The</w:t>
      </w:r>
      <w:r w:rsidR="00DB0375" w:rsidRPr="004617EB">
        <w:rPr>
          <w:rFonts w:ascii="Calibri" w:hAnsi="Calibri"/>
          <w:sz w:val="22"/>
          <w:szCs w:val="22"/>
        </w:rPr>
        <w:t>se</w:t>
      </w:r>
      <w:r w:rsidRPr="004617EB">
        <w:rPr>
          <w:rFonts w:ascii="Calibri" w:hAnsi="Calibri"/>
          <w:sz w:val="22"/>
          <w:szCs w:val="22"/>
        </w:rPr>
        <w:t xml:space="preserve"> contract</w:t>
      </w:r>
      <w:r w:rsidR="00DB0375" w:rsidRPr="004617EB">
        <w:rPr>
          <w:rFonts w:ascii="Calibri" w:hAnsi="Calibri"/>
          <w:sz w:val="22"/>
          <w:szCs w:val="22"/>
        </w:rPr>
        <w:t>s</w:t>
      </w:r>
      <w:r w:rsidRPr="004617EB">
        <w:rPr>
          <w:rFonts w:ascii="Calibri" w:hAnsi="Calibri"/>
          <w:sz w:val="22"/>
          <w:szCs w:val="22"/>
        </w:rPr>
        <w:t xml:space="preserve"> require the merchant to follow PCI </w:t>
      </w:r>
      <w:r w:rsidR="000C0055" w:rsidRPr="004617EB">
        <w:rPr>
          <w:rFonts w:ascii="Calibri" w:hAnsi="Calibri"/>
          <w:sz w:val="22"/>
          <w:szCs w:val="22"/>
        </w:rPr>
        <w:t xml:space="preserve">data security </w:t>
      </w:r>
      <w:r w:rsidRPr="004617EB">
        <w:rPr>
          <w:rFonts w:ascii="Calibri" w:hAnsi="Calibri"/>
          <w:sz w:val="22"/>
          <w:szCs w:val="22"/>
        </w:rPr>
        <w:t xml:space="preserve">standards.  The standards include, among other things, maintaining a secure IT environment, training staff, and developing policies and procedures to keep data secure.    </w:t>
      </w:r>
    </w:p>
    <w:p w:rsidR="0008349E" w:rsidRPr="004617EB" w:rsidRDefault="0008349E" w:rsidP="0008349E">
      <w:pPr>
        <w:spacing w:after="0" w:line="240" w:lineRule="auto"/>
        <w:ind w:left="360"/>
        <w:rPr>
          <w:rFonts w:ascii="Calibri" w:hAnsi="Calibri"/>
          <w:sz w:val="22"/>
          <w:szCs w:val="22"/>
        </w:rPr>
      </w:pPr>
    </w:p>
    <w:p w:rsidR="0008349E" w:rsidRPr="004617EB" w:rsidRDefault="00B2175D" w:rsidP="0008349E">
      <w:pPr>
        <w:spacing w:after="0" w:line="240" w:lineRule="auto"/>
        <w:ind w:left="360"/>
        <w:rPr>
          <w:rFonts w:ascii="Calibri" w:hAnsi="Calibri"/>
          <w:sz w:val="22"/>
          <w:szCs w:val="22"/>
        </w:rPr>
      </w:pPr>
      <w:r w:rsidRPr="004617EB">
        <w:rPr>
          <w:rFonts w:ascii="Calibri" w:hAnsi="Calibri"/>
          <w:sz w:val="22"/>
          <w:szCs w:val="22"/>
        </w:rPr>
        <w:t xml:space="preserve">Initially, an organization can establish that it is PCI-compliant </w:t>
      </w:r>
      <w:r w:rsidR="004E4D99" w:rsidRPr="004617EB">
        <w:rPr>
          <w:rFonts w:ascii="Calibri" w:hAnsi="Calibri"/>
          <w:sz w:val="22"/>
          <w:szCs w:val="22"/>
        </w:rPr>
        <w:t xml:space="preserve">via </w:t>
      </w:r>
      <w:r w:rsidR="0008349E" w:rsidRPr="004617EB">
        <w:rPr>
          <w:rFonts w:ascii="Calibri" w:hAnsi="Calibri"/>
          <w:sz w:val="22"/>
          <w:szCs w:val="22"/>
        </w:rPr>
        <w:t>either of two forms developed</w:t>
      </w:r>
      <w:r w:rsidRPr="004617EB">
        <w:rPr>
          <w:rFonts w:ascii="Calibri" w:hAnsi="Calibri"/>
          <w:sz w:val="22"/>
          <w:szCs w:val="22"/>
        </w:rPr>
        <w:t xml:space="preserve"> by the PCI DSS Council</w:t>
      </w:r>
      <w:r w:rsidR="0008349E" w:rsidRPr="004617EB">
        <w:rPr>
          <w:rFonts w:ascii="Calibri" w:hAnsi="Calibri"/>
          <w:sz w:val="22"/>
          <w:szCs w:val="22"/>
        </w:rPr>
        <w:t>:  “Attestation of Compliance” form or “Confirmation of Report Accuracy” form</w:t>
      </w:r>
      <w:r w:rsidR="00D2395F" w:rsidRPr="004617EB">
        <w:rPr>
          <w:rFonts w:ascii="Calibri" w:hAnsi="Calibri"/>
          <w:sz w:val="22"/>
          <w:szCs w:val="22"/>
        </w:rPr>
        <w:t xml:space="preserve">.  </w:t>
      </w:r>
    </w:p>
    <w:p w:rsidR="0008349E" w:rsidRPr="004617EB" w:rsidRDefault="0008349E" w:rsidP="0008349E">
      <w:pPr>
        <w:spacing w:after="0" w:line="240" w:lineRule="auto"/>
        <w:ind w:left="360"/>
        <w:rPr>
          <w:rFonts w:ascii="Calibri" w:hAnsi="Calibri"/>
          <w:sz w:val="22"/>
          <w:szCs w:val="22"/>
        </w:rPr>
      </w:pPr>
    </w:p>
    <w:p w:rsidR="00777D31" w:rsidRPr="004617EB" w:rsidRDefault="00084BD1" w:rsidP="0008349E">
      <w:pPr>
        <w:spacing w:after="0" w:line="240" w:lineRule="auto"/>
        <w:ind w:left="360"/>
        <w:rPr>
          <w:rFonts w:ascii="Calibri" w:hAnsi="Calibri"/>
          <w:sz w:val="22"/>
          <w:szCs w:val="22"/>
        </w:rPr>
      </w:pPr>
      <w:r w:rsidRPr="004617EB">
        <w:rPr>
          <w:rFonts w:ascii="Calibri" w:hAnsi="Calibri"/>
          <w:sz w:val="22"/>
          <w:szCs w:val="22"/>
        </w:rPr>
        <w:t>Note,</w:t>
      </w:r>
      <w:r w:rsidR="00363550" w:rsidRPr="004617EB">
        <w:rPr>
          <w:rFonts w:ascii="Calibri" w:hAnsi="Calibri"/>
          <w:sz w:val="22"/>
          <w:szCs w:val="22"/>
        </w:rPr>
        <w:t xml:space="preserve"> however, compliance is a moving target.  A</w:t>
      </w:r>
      <w:r w:rsidR="00B2175D" w:rsidRPr="004617EB">
        <w:rPr>
          <w:rFonts w:ascii="Calibri" w:hAnsi="Calibri"/>
          <w:sz w:val="22"/>
          <w:szCs w:val="22"/>
        </w:rPr>
        <w:t xml:space="preserve">n organization that is PCI-compliant one day may become non-compliant the next by making changes, </w:t>
      </w:r>
      <w:r w:rsidR="00363550" w:rsidRPr="004617EB">
        <w:rPr>
          <w:rFonts w:ascii="Calibri" w:hAnsi="Calibri"/>
          <w:sz w:val="22"/>
          <w:szCs w:val="22"/>
        </w:rPr>
        <w:t xml:space="preserve">either to business practices or by </w:t>
      </w:r>
      <w:r w:rsidR="00B2175D" w:rsidRPr="004617EB">
        <w:rPr>
          <w:rFonts w:ascii="Calibri" w:hAnsi="Calibri"/>
          <w:sz w:val="22"/>
          <w:szCs w:val="22"/>
        </w:rPr>
        <w:t xml:space="preserve">reconfiguring its IT environment.  Because processes, personnel and IT resources do change over time, it is important to have </w:t>
      </w:r>
      <w:r w:rsidR="00356A1E" w:rsidRPr="004617EB">
        <w:rPr>
          <w:rFonts w:ascii="Calibri" w:hAnsi="Calibri"/>
          <w:sz w:val="22"/>
          <w:szCs w:val="22"/>
        </w:rPr>
        <w:t>ongoing</w:t>
      </w:r>
      <w:r w:rsidR="00B2175D" w:rsidRPr="004617EB">
        <w:rPr>
          <w:rFonts w:ascii="Calibri" w:hAnsi="Calibri"/>
          <w:sz w:val="22"/>
          <w:szCs w:val="22"/>
        </w:rPr>
        <w:t xml:space="preserve"> discussions with vendors re</w:t>
      </w:r>
      <w:r w:rsidR="009B62F2" w:rsidRPr="004617EB">
        <w:rPr>
          <w:rFonts w:ascii="Calibri" w:hAnsi="Calibri"/>
          <w:sz w:val="22"/>
          <w:szCs w:val="22"/>
        </w:rPr>
        <w:t>garding</w:t>
      </w:r>
      <w:r w:rsidR="00B2175D" w:rsidRPr="004617EB">
        <w:rPr>
          <w:rFonts w:ascii="Calibri" w:hAnsi="Calibri"/>
          <w:sz w:val="22"/>
          <w:szCs w:val="22"/>
        </w:rPr>
        <w:t xml:space="preserve"> data security and PCI</w:t>
      </w:r>
      <w:r w:rsidR="00363550" w:rsidRPr="004617EB">
        <w:rPr>
          <w:rFonts w:ascii="Calibri" w:hAnsi="Calibri"/>
          <w:sz w:val="22"/>
          <w:szCs w:val="22"/>
        </w:rPr>
        <w:t xml:space="preserve"> </w:t>
      </w:r>
      <w:r w:rsidR="00B2175D" w:rsidRPr="004617EB">
        <w:rPr>
          <w:rFonts w:ascii="Calibri" w:hAnsi="Calibri"/>
          <w:sz w:val="22"/>
          <w:szCs w:val="22"/>
        </w:rPr>
        <w:t xml:space="preserve">DSS compliance.  </w:t>
      </w:r>
    </w:p>
    <w:p w:rsidR="00777D31" w:rsidRPr="004617EB" w:rsidRDefault="00777D31" w:rsidP="002F126C">
      <w:pPr>
        <w:spacing w:after="0" w:line="240" w:lineRule="auto"/>
        <w:rPr>
          <w:rFonts w:ascii="Calibri" w:hAnsi="Calibri"/>
          <w:sz w:val="22"/>
          <w:szCs w:val="22"/>
        </w:rPr>
      </w:pPr>
    </w:p>
    <w:p w:rsidR="00B2175D" w:rsidRPr="004617EB" w:rsidRDefault="00B2175D" w:rsidP="00C7611C">
      <w:pPr>
        <w:spacing w:line="240" w:lineRule="auto"/>
        <w:ind w:left="360"/>
        <w:rPr>
          <w:rFonts w:ascii="Calibri" w:hAnsi="Calibri"/>
          <w:sz w:val="22"/>
          <w:szCs w:val="22"/>
        </w:rPr>
      </w:pPr>
      <w:r w:rsidRPr="004617EB">
        <w:rPr>
          <w:rFonts w:ascii="Calibri" w:hAnsi="Calibri"/>
          <w:sz w:val="22"/>
          <w:szCs w:val="22"/>
        </w:rPr>
        <w:t xml:space="preserve">To satisfy the requirements of PCI, a merchant [your vendor] must complete the following steps: </w:t>
      </w:r>
    </w:p>
    <w:p w:rsidR="00B2175D" w:rsidRPr="004617EB" w:rsidRDefault="00B2175D" w:rsidP="002F126C">
      <w:pPr>
        <w:numPr>
          <w:ilvl w:val="0"/>
          <w:numId w:val="8"/>
        </w:numPr>
        <w:spacing w:line="240" w:lineRule="auto"/>
        <w:rPr>
          <w:rFonts w:ascii="Calibri" w:hAnsi="Calibri"/>
          <w:sz w:val="22"/>
          <w:szCs w:val="22"/>
        </w:rPr>
      </w:pPr>
      <w:r w:rsidRPr="004617EB">
        <w:rPr>
          <w:rFonts w:ascii="Calibri" w:hAnsi="Calibri"/>
          <w:sz w:val="22"/>
          <w:szCs w:val="22"/>
        </w:rPr>
        <w:t xml:space="preserve">Identify its Validation Type as defined by PCI DSS – see below.  This is used to determine which Self Assessment Questionnaire is appropriate for your business.  </w:t>
      </w:r>
    </w:p>
    <w:p w:rsidR="00B2175D" w:rsidRPr="004617EB" w:rsidRDefault="00F463DE" w:rsidP="00C7611C">
      <w:pPr>
        <w:jc w:val="center"/>
        <w:rPr>
          <w:b/>
          <w:sz w:val="22"/>
          <w:szCs w:val="22"/>
        </w:rPr>
      </w:pPr>
      <w:r>
        <w:rPr>
          <w:b/>
          <w:noProof/>
          <w:sz w:val="22"/>
          <w:szCs w:val="22"/>
        </w:rPr>
        <w:drawing>
          <wp:inline distT="0" distB="0" distL="0" distR="0">
            <wp:extent cx="4905375" cy="2038350"/>
            <wp:effectExtent l="0" t="0" r="9525" b="0"/>
            <wp:docPr id="1" name="Picture 1" descr="https://www.controlscan.com/images/faq_saq_validation_ty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ntrolscan.com/images/faq_saq_validation_type.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5375" cy="2038350"/>
                    </a:xfrm>
                    <a:prstGeom prst="rect">
                      <a:avLst/>
                    </a:prstGeom>
                    <a:noFill/>
                    <a:ln>
                      <a:noFill/>
                    </a:ln>
                  </pic:spPr>
                </pic:pic>
              </a:graphicData>
            </a:graphic>
          </wp:inline>
        </w:drawing>
      </w:r>
    </w:p>
    <w:p w:rsidR="00B2175D" w:rsidRPr="004617EB" w:rsidRDefault="00B2175D" w:rsidP="002F126C">
      <w:pPr>
        <w:numPr>
          <w:ilvl w:val="0"/>
          <w:numId w:val="9"/>
        </w:numPr>
        <w:spacing w:line="240" w:lineRule="auto"/>
        <w:rPr>
          <w:rFonts w:ascii="Calibri" w:hAnsi="Calibri"/>
          <w:sz w:val="22"/>
          <w:szCs w:val="22"/>
        </w:rPr>
      </w:pPr>
      <w:r w:rsidRPr="004617EB">
        <w:rPr>
          <w:rFonts w:ascii="Calibri" w:hAnsi="Calibri"/>
          <w:sz w:val="22"/>
          <w:szCs w:val="22"/>
        </w:rPr>
        <w:t xml:space="preserve">Complete the Self-Assessment Questionnaire according to the instructions in the Self- Assessment Questionnaire Instructions and Guidelines. </w:t>
      </w:r>
    </w:p>
    <w:p w:rsidR="00B2175D" w:rsidRPr="004617EB" w:rsidRDefault="00B2175D" w:rsidP="002F126C">
      <w:pPr>
        <w:numPr>
          <w:ilvl w:val="0"/>
          <w:numId w:val="10"/>
        </w:numPr>
        <w:spacing w:line="240" w:lineRule="auto"/>
        <w:rPr>
          <w:rFonts w:ascii="Calibri" w:hAnsi="Calibri"/>
          <w:sz w:val="22"/>
          <w:szCs w:val="22"/>
        </w:rPr>
      </w:pPr>
      <w:r w:rsidRPr="004617EB">
        <w:rPr>
          <w:rFonts w:ascii="Calibri" w:hAnsi="Calibri"/>
          <w:sz w:val="22"/>
          <w:szCs w:val="22"/>
        </w:rPr>
        <w:t xml:space="preserve">Complete and obtain evidence of a passing vulnerability scan with a PCI </w:t>
      </w:r>
      <w:r w:rsidR="00356A1E" w:rsidRPr="004617EB">
        <w:rPr>
          <w:rFonts w:ascii="Calibri" w:hAnsi="Calibri"/>
          <w:sz w:val="22"/>
          <w:szCs w:val="22"/>
        </w:rPr>
        <w:t xml:space="preserve">DSS </w:t>
      </w:r>
      <w:r w:rsidRPr="004617EB">
        <w:rPr>
          <w:rFonts w:ascii="Calibri" w:hAnsi="Calibri"/>
          <w:sz w:val="22"/>
          <w:szCs w:val="22"/>
        </w:rPr>
        <w:t xml:space="preserve">Approved Scanning Vendor (ASV).  </w:t>
      </w:r>
      <w:r w:rsidRPr="004617EB">
        <w:rPr>
          <w:rFonts w:ascii="Calibri" w:hAnsi="Calibri"/>
          <w:bCs/>
          <w:sz w:val="22"/>
          <w:szCs w:val="22"/>
        </w:rPr>
        <w:t>Note</w:t>
      </w:r>
      <w:r w:rsidRPr="004617EB">
        <w:rPr>
          <w:rFonts w:ascii="Calibri" w:hAnsi="Calibri"/>
          <w:sz w:val="22"/>
          <w:szCs w:val="22"/>
        </w:rPr>
        <w:t xml:space="preserve"> scanning does not apply to all merchants.  It is required for Validation Type 4 and 5 – those merchants with external facing IP addresses</w:t>
      </w:r>
      <w:r w:rsidR="00BC2952">
        <w:rPr>
          <w:rFonts w:ascii="Calibri" w:hAnsi="Calibri"/>
          <w:sz w:val="22"/>
          <w:szCs w:val="22"/>
        </w:rPr>
        <w:t xml:space="preserve">.  </w:t>
      </w:r>
      <w:r w:rsidRPr="004617EB">
        <w:rPr>
          <w:rFonts w:ascii="Calibri" w:hAnsi="Calibri"/>
          <w:sz w:val="22"/>
          <w:szCs w:val="22"/>
        </w:rPr>
        <w:t xml:space="preserve">Basically if </w:t>
      </w:r>
      <w:r w:rsidR="00777D31" w:rsidRPr="004617EB">
        <w:rPr>
          <w:rFonts w:ascii="Calibri" w:hAnsi="Calibri"/>
          <w:sz w:val="22"/>
          <w:szCs w:val="22"/>
        </w:rPr>
        <w:t>a merchant</w:t>
      </w:r>
      <w:r w:rsidRPr="004617EB">
        <w:rPr>
          <w:rFonts w:ascii="Calibri" w:hAnsi="Calibri"/>
          <w:sz w:val="22"/>
          <w:szCs w:val="22"/>
        </w:rPr>
        <w:t xml:space="preserve"> electronically store</w:t>
      </w:r>
      <w:r w:rsidR="00777D31" w:rsidRPr="004617EB">
        <w:rPr>
          <w:rFonts w:ascii="Calibri" w:hAnsi="Calibri"/>
          <w:sz w:val="22"/>
          <w:szCs w:val="22"/>
        </w:rPr>
        <w:t>s</w:t>
      </w:r>
      <w:r w:rsidRPr="004617EB">
        <w:rPr>
          <w:rFonts w:ascii="Calibri" w:hAnsi="Calibri"/>
          <w:sz w:val="22"/>
          <w:szCs w:val="22"/>
        </w:rPr>
        <w:t xml:space="preserve"> cardholder information or if </w:t>
      </w:r>
      <w:r w:rsidR="00777D31" w:rsidRPr="004617EB">
        <w:rPr>
          <w:rFonts w:ascii="Calibri" w:hAnsi="Calibri"/>
          <w:sz w:val="22"/>
          <w:szCs w:val="22"/>
        </w:rPr>
        <w:t>the merchant’s</w:t>
      </w:r>
      <w:r w:rsidRPr="004617EB">
        <w:rPr>
          <w:rFonts w:ascii="Calibri" w:hAnsi="Calibri"/>
          <w:sz w:val="22"/>
          <w:szCs w:val="22"/>
        </w:rPr>
        <w:t xml:space="preserve"> processing systems have any internet connectivity, a quarterly scan by an approved scanning vendor is required. </w:t>
      </w:r>
    </w:p>
    <w:p w:rsidR="00B2175D" w:rsidRPr="004617EB" w:rsidRDefault="00B2175D" w:rsidP="002F126C">
      <w:pPr>
        <w:numPr>
          <w:ilvl w:val="0"/>
          <w:numId w:val="11"/>
        </w:numPr>
        <w:spacing w:line="240" w:lineRule="auto"/>
        <w:rPr>
          <w:rFonts w:ascii="Calibri" w:hAnsi="Calibri"/>
          <w:sz w:val="22"/>
          <w:szCs w:val="22"/>
        </w:rPr>
      </w:pPr>
      <w:r w:rsidRPr="004617EB">
        <w:rPr>
          <w:rFonts w:ascii="Calibri" w:hAnsi="Calibri"/>
          <w:sz w:val="22"/>
          <w:szCs w:val="22"/>
        </w:rPr>
        <w:t xml:space="preserve">Complete the relevant Attestation of Compliance in its entirety (located in the SAQ tool). </w:t>
      </w:r>
    </w:p>
    <w:p w:rsidR="00D617B3" w:rsidRPr="00492479" w:rsidRDefault="00B2175D" w:rsidP="00492479">
      <w:pPr>
        <w:pStyle w:val="ListParagraph"/>
        <w:numPr>
          <w:ilvl w:val="0"/>
          <w:numId w:val="11"/>
        </w:numPr>
        <w:spacing w:after="0" w:line="240" w:lineRule="auto"/>
        <w:rPr>
          <w:rFonts w:ascii="Calibri" w:hAnsi="Calibri"/>
          <w:sz w:val="22"/>
          <w:szCs w:val="22"/>
        </w:rPr>
      </w:pPr>
      <w:r w:rsidRPr="00492479">
        <w:rPr>
          <w:rFonts w:ascii="Calibri" w:hAnsi="Calibri"/>
          <w:sz w:val="22"/>
          <w:szCs w:val="22"/>
        </w:rPr>
        <w:t xml:space="preserve">Submit the SAQ, evidence of a passing scan (if applicable), and the Attestation of Compliance, along with any other requested documentation, to </w:t>
      </w:r>
      <w:r w:rsidR="00777D31" w:rsidRPr="00492479">
        <w:rPr>
          <w:rFonts w:ascii="Calibri" w:hAnsi="Calibri"/>
          <w:sz w:val="22"/>
          <w:szCs w:val="22"/>
        </w:rPr>
        <w:t xml:space="preserve">the merchant’s </w:t>
      </w:r>
      <w:r w:rsidRPr="00492479">
        <w:rPr>
          <w:rFonts w:ascii="Calibri" w:hAnsi="Calibri"/>
          <w:sz w:val="22"/>
          <w:szCs w:val="22"/>
        </w:rPr>
        <w:t>acquirer.</w:t>
      </w:r>
      <w:r w:rsidR="00D617B3" w:rsidRPr="00492479">
        <w:rPr>
          <w:rFonts w:ascii="Calibri" w:hAnsi="Calibri"/>
          <w:sz w:val="22"/>
          <w:szCs w:val="22"/>
        </w:rPr>
        <w:br w:type="page"/>
      </w:r>
    </w:p>
    <w:p w:rsidR="00C7611C" w:rsidRPr="004617EB" w:rsidRDefault="00C7611C" w:rsidP="00C7611C">
      <w:pPr>
        <w:rPr>
          <w:rFonts w:ascii="Calibri" w:hAnsi="Calibri"/>
          <w:sz w:val="22"/>
          <w:szCs w:val="22"/>
        </w:rPr>
      </w:pPr>
      <w:r w:rsidRPr="004617EB">
        <w:rPr>
          <w:rFonts w:ascii="Calibri" w:hAnsi="Calibri"/>
          <w:sz w:val="22"/>
          <w:szCs w:val="22"/>
        </w:rPr>
        <w:t>The PCI Council maintains lists of compliant software and service providers.  See links below.</w:t>
      </w:r>
    </w:p>
    <w:p w:rsidR="00C7611C" w:rsidRPr="00492479" w:rsidRDefault="00C7611C" w:rsidP="00C7611C">
      <w:pPr>
        <w:ind w:left="720"/>
        <w:rPr>
          <w:rFonts w:ascii="Cambria" w:hAnsi="Cambria"/>
          <w:b/>
          <w:sz w:val="22"/>
          <w:szCs w:val="22"/>
        </w:rPr>
      </w:pPr>
      <w:r w:rsidRPr="00492479">
        <w:rPr>
          <w:rFonts w:ascii="Cambria" w:hAnsi="Cambria"/>
          <w:b/>
          <w:sz w:val="22"/>
          <w:szCs w:val="22"/>
        </w:rPr>
        <w:t>To see a sample Attestation of Compliance form, go to:</w:t>
      </w:r>
    </w:p>
    <w:p w:rsidR="00C7611C" w:rsidRPr="004617EB" w:rsidRDefault="00E869E8" w:rsidP="00C7611C">
      <w:pPr>
        <w:ind w:left="720"/>
        <w:rPr>
          <w:rFonts w:ascii="Calibri" w:hAnsi="Calibri"/>
          <w:sz w:val="22"/>
          <w:szCs w:val="22"/>
        </w:rPr>
      </w:pPr>
      <w:hyperlink r:id="rId11" w:history="1">
        <w:r w:rsidR="00C7611C" w:rsidRPr="004617EB">
          <w:rPr>
            <w:rStyle w:val="Hyperlink"/>
            <w:rFonts w:ascii="Calibri" w:hAnsi="Calibri"/>
            <w:sz w:val="22"/>
            <w:szCs w:val="22"/>
          </w:rPr>
          <w:t>https://www.pcisecuritystandards.org/saq/docs/aoc_merchants.doc</w:t>
        </w:r>
      </w:hyperlink>
    </w:p>
    <w:p w:rsidR="00C7611C" w:rsidRPr="004617EB" w:rsidRDefault="00C7611C" w:rsidP="00C7611C">
      <w:pPr>
        <w:ind w:left="720"/>
        <w:rPr>
          <w:rFonts w:ascii="Calibri" w:hAnsi="Calibri"/>
          <w:sz w:val="22"/>
          <w:szCs w:val="22"/>
        </w:rPr>
      </w:pPr>
      <w:r w:rsidRPr="004617EB">
        <w:rPr>
          <w:rFonts w:ascii="Calibri" w:hAnsi="Calibri"/>
          <w:sz w:val="22"/>
          <w:szCs w:val="22"/>
        </w:rPr>
        <w:t>[See attached “Confirmation of Report Accuracy” and “PCI Attestation for Online Compliance for Merchants”]</w:t>
      </w:r>
    </w:p>
    <w:p w:rsidR="00492479" w:rsidRDefault="00C7611C" w:rsidP="00C7611C">
      <w:pPr>
        <w:ind w:left="720"/>
      </w:pPr>
      <w:r w:rsidRPr="00492479">
        <w:rPr>
          <w:rFonts w:ascii="Cambria" w:hAnsi="Cambria"/>
          <w:b/>
          <w:sz w:val="22"/>
          <w:szCs w:val="22"/>
        </w:rPr>
        <w:t>To check whether software you plan to purchase is PCI compliant, go to:</w:t>
      </w:r>
      <w:r w:rsidRPr="004617EB">
        <w:rPr>
          <w:rFonts w:ascii="Calibri" w:hAnsi="Calibri"/>
          <w:sz w:val="22"/>
          <w:szCs w:val="22"/>
        </w:rPr>
        <w:t xml:space="preserve">  </w:t>
      </w:r>
    </w:p>
    <w:p w:rsidR="00C7611C" w:rsidRPr="004617EB" w:rsidRDefault="00E869E8" w:rsidP="00C7611C">
      <w:pPr>
        <w:ind w:left="720"/>
        <w:rPr>
          <w:rFonts w:ascii="Calibri" w:hAnsi="Calibri"/>
          <w:sz w:val="22"/>
          <w:szCs w:val="22"/>
        </w:rPr>
      </w:pPr>
      <w:hyperlink r:id="rId12" w:history="1">
        <w:r w:rsidR="00C7611C" w:rsidRPr="004617EB">
          <w:rPr>
            <w:rStyle w:val="Hyperlink"/>
            <w:rFonts w:ascii="Calibri" w:hAnsi="Calibri"/>
            <w:sz w:val="22"/>
            <w:szCs w:val="22"/>
          </w:rPr>
          <w:t>https://www.pcisecuritystandards.org/security_standards/vpa/</w:t>
        </w:r>
      </w:hyperlink>
      <w:r w:rsidR="00C7611C" w:rsidRPr="004617EB">
        <w:rPr>
          <w:rFonts w:ascii="Calibri" w:hAnsi="Calibri"/>
          <w:sz w:val="22"/>
          <w:szCs w:val="22"/>
        </w:rPr>
        <w:t>)</w:t>
      </w:r>
    </w:p>
    <w:p w:rsidR="00C7611C" w:rsidRPr="00492479" w:rsidRDefault="00C7611C" w:rsidP="00C7611C">
      <w:pPr>
        <w:ind w:left="720"/>
        <w:rPr>
          <w:rFonts w:ascii="Cambria" w:hAnsi="Cambria"/>
          <w:b/>
          <w:sz w:val="22"/>
          <w:szCs w:val="22"/>
        </w:rPr>
      </w:pPr>
      <w:r w:rsidRPr="00492479">
        <w:rPr>
          <w:rFonts w:ascii="Cambria" w:hAnsi="Cambria"/>
          <w:b/>
          <w:sz w:val="22"/>
          <w:szCs w:val="22"/>
        </w:rPr>
        <w:t xml:space="preserve">To check whether a service provider is compliant, go to: </w:t>
      </w:r>
    </w:p>
    <w:p w:rsidR="00BC2952" w:rsidRPr="00BC2952" w:rsidRDefault="00E869E8" w:rsidP="00C7611C">
      <w:pPr>
        <w:ind w:left="720"/>
        <w:rPr>
          <w:rFonts w:ascii="Calibri" w:hAnsi="Calibri" w:cs="Tahoma"/>
          <w:color w:val="0000FF"/>
          <w:sz w:val="22"/>
          <w:szCs w:val="22"/>
          <w:u w:val="single"/>
        </w:rPr>
      </w:pPr>
      <w:hyperlink r:id="rId13" w:history="1">
        <w:r w:rsidR="00BC2952" w:rsidRPr="00BC2952">
          <w:rPr>
            <w:rStyle w:val="Hyperlink"/>
            <w:rFonts w:ascii="Calibri" w:hAnsi="Calibri" w:cs="Tahoma"/>
            <w:sz w:val="22"/>
            <w:szCs w:val="22"/>
          </w:rPr>
          <w:t>http://usa.visa.com/merchants/risk_management/cisp_service_providers.html</w:t>
        </w:r>
      </w:hyperlink>
    </w:p>
    <w:p w:rsidR="00C7611C" w:rsidRPr="00492479" w:rsidRDefault="00C7611C" w:rsidP="00C7611C">
      <w:pPr>
        <w:ind w:left="720"/>
        <w:rPr>
          <w:rFonts w:ascii="Cambria" w:hAnsi="Cambria"/>
          <w:b/>
          <w:sz w:val="22"/>
          <w:szCs w:val="22"/>
        </w:rPr>
      </w:pPr>
      <w:r w:rsidRPr="00492479">
        <w:rPr>
          <w:rFonts w:ascii="Cambria" w:hAnsi="Cambria"/>
          <w:b/>
          <w:sz w:val="22"/>
          <w:szCs w:val="22"/>
        </w:rPr>
        <w:t xml:space="preserve">For fuller information on the PCI Security Council (Main PCI Reference), go to:  </w:t>
      </w:r>
    </w:p>
    <w:p w:rsidR="00C7611C" w:rsidRPr="004617EB" w:rsidRDefault="00E869E8" w:rsidP="00C7611C">
      <w:pPr>
        <w:ind w:left="720"/>
        <w:rPr>
          <w:rFonts w:ascii="Calibri" w:hAnsi="Calibri"/>
          <w:sz w:val="22"/>
          <w:szCs w:val="22"/>
        </w:rPr>
      </w:pPr>
      <w:hyperlink r:id="rId14" w:history="1">
        <w:r w:rsidR="00C7611C" w:rsidRPr="004617EB">
          <w:rPr>
            <w:rStyle w:val="Hyperlink"/>
            <w:rFonts w:ascii="Calibri" w:hAnsi="Calibri"/>
            <w:sz w:val="22"/>
            <w:szCs w:val="22"/>
          </w:rPr>
          <w:t>https://www.pcisecuritystandards.org/index.shtml</w:t>
        </w:r>
      </w:hyperlink>
      <w:r w:rsidR="00C7611C" w:rsidRPr="004617EB">
        <w:rPr>
          <w:rFonts w:ascii="Calibri" w:hAnsi="Calibri"/>
          <w:sz w:val="22"/>
          <w:szCs w:val="22"/>
        </w:rPr>
        <w:t xml:space="preserve"> </w:t>
      </w:r>
    </w:p>
    <w:p w:rsidR="00C7611C" w:rsidRPr="00492479" w:rsidRDefault="00C7611C" w:rsidP="00C7611C">
      <w:pPr>
        <w:ind w:left="720"/>
        <w:rPr>
          <w:rFonts w:ascii="Cambria" w:hAnsi="Cambria"/>
          <w:b/>
          <w:sz w:val="22"/>
          <w:szCs w:val="22"/>
        </w:rPr>
      </w:pPr>
      <w:r w:rsidRPr="00492479">
        <w:rPr>
          <w:rFonts w:ascii="Cambria" w:hAnsi="Cambria"/>
          <w:b/>
          <w:sz w:val="22"/>
          <w:szCs w:val="22"/>
        </w:rPr>
        <w:t xml:space="preserve">For </w:t>
      </w:r>
      <w:r w:rsidR="004E4D99" w:rsidRPr="00492479">
        <w:rPr>
          <w:rFonts w:ascii="Cambria" w:hAnsi="Cambria"/>
          <w:b/>
          <w:sz w:val="22"/>
          <w:szCs w:val="22"/>
        </w:rPr>
        <w:t>free</w:t>
      </w:r>
      <w:r w:rsidRPr="00492479">
        <w:rPr>
          <w:rFonts w:ascii="Cambria" w:hAnsi="Cambria"/>
          <w:b/>
          <w:sz w:val="22"/>
          <w:szCs w:val="22"/>
        </w:rPr>
        <w:t xml:space="preserve"> PCI Training Webinars, go to:  </w:t>
      </w:r>
    </w:p>
    <w:p w:rsidR="00C7611C" w:rsidRPr="004617EB" w:rsidRDefault="00E869E8" w:rsidP="00C7611C">
      <w:pPr>
        <w:ind w:left="720"/>
        <w:rPr>
          <w:rFonts w:ascii="Calibri" w:hAnsi="Calibri"/>
          <w:sz w:val="22"/>
          <w:szCs w:val="22"/>
        </w:rPr>
      </w:pPr>
      <w:hyperlink r:id="rId15" w:history="1">
        <w:r w:rsidR="00C7611C" w:rsidRPr="004617EB">
          <w:rPr>
            <w:rStyle w:val="Hyperlink"/>
            <w:rFonts w:ascii="Calibri" w:hAnsi="Calibri"/>
            <w:sz w:val="22"/>
            <w:szCs w:val="22"/>
          </w:rPr>
          <w:t>http://www.mastercard.com/us/merchant/support/merchant_education.html</w:t>
        </w:r>
      </w:hyperlink>
      <w:r w:rsidR="00C7611C" w:rsidRPr="004617EB">
        <w:rPr>
          <w:rFonts w:ascii="Calibri" w:hAnsi="Calibri"/>
          <w:sz w:val="22"/>
          <w:szCs w:val="22"/>
        </w:rPr>
        <w:t xml:space="preserve"> </w:t>
      </w:r>
    </w:p>
    <w:p w:rsidR="00C7611C" w:rsidRPr="004617EB" w:rsidRDefault="00C7611C" w:rsidP="00C7611C">
      <w:pPr>
        <w:ind w:left="720"/>
        <w:rPr>
          <w:rFonts w:ascii="Calibri" w:hAnsi="Calibri"/>
          <w:sz w:val="22"/>
          <w:szCs w:val="22"/>
        </w:rPr>
      </w:pPr>
    </w:p>
    <w:p w:rsidR="00C7611C" w:rsidRPr="004617EB" w:rsidRDefault="00C7611C" w:rsidP="00C7611C">
      <w:pPr>
        <w:ind w:left="720"/>
        <w:rPr>
          <w:rFonts w:ascii="Calibri" w:hAnsi="Calibri"/>
          <w:sz w:val="22"/>
          <w:szCs w:val="22"/>
        </w:rPr>
      </w:pPr>
    </w:p>
    <w:p w:rsidR="00C7611C" w:rsidRPr="004617EB" w:rsidRDefault="00C7611C" w:rsidP="00C7611C">
      <w:pPr>
        <w:rPr>
          <w:rFonts w:ascii="Calibri" w:hAnsi="Calibri"/>
          <w:sz w:val="22"/>
          <w:szCs w:val="22"/>
        </w:rPr>
      </w:pPr>
    </w:p>
    <w:p w:rsidR="00C7611C" w:rsidRPr="004617EB" w:rsidRDefault="00C7611C" w:rsidP="00C7611C">
      <w:pPr>
        <w:rPr>
          <w:rFonts w:ascii="Calibri" w:hAnsi="Calibri"/>
          <w:sz w:val="22"/>
          <w:szCs w:val="22"/>
        </w:rPr>
      </w:pPr>
    </w:p>
    <w:p w:rsidR="00C7611C" w:rsidRPr="004617EB" w:rsidRDefault="00C7611C" w:rsidP="00C7611C">
      <w:pPr>
        <w:rPr>
          <w:sz w:val="22"/>
          <w:szCs w:val="22"/>
        </w:rPr>
      </w:pPr>
    </w:p>
    <w:p w:rsidR="00C7611C" w:rsidRDefault="00C7611C" w:rsidP="006F38E8">
      <w:pPr>
        <w:rPr>
          <w:sz w:val="22"/>
          <w:szCs w:val="22"/>
        </w:rPr>
      </w:pPr>
    </w:p>
    <w:p w:rsidR="00925F03" w:rsidRDefault="00925F03" w:rsidP="006F38E8">
      <w:pPr>
        <w:rPr>
          <w:sz w:val="22"/>
          <w:szCs w:val="22"/>
        </w:rPr>
      </w:pPr>
    </w:p>
    <w:p w:rsidR="00925F03" w:rsidRDefault="00925F03" w:rsidP="006F38E8">
      <w:pPr>
        <w:rPr>
          <w:sz w:val="22"/>
          <w:szCs w:val="22"/>
        </w:rPr>
      </w:pPr>
    </w:p>
    <w:p w:rsidR="00925F03" w:rsidRDefault="00925F03" w:rsidP="006F38E8">
      <w:pPr>
        <w:rPr>
          <w:sz w:val="22"/>
          <w:szCs w:val="22"/>
        </w:rPr>
      </w:pPr>
    </w:p>
    <w:p w:rsidR="00925F03" w:rsidRDefault="00925F03" w:rsidP="006F38E8">
      <w:pPr>
        <w:rPr>
          <w:sz w:val="22"/>
          <w:szCs w:val="22"/>
        </w:rPr>
      </w:pPr>
    </w:p>
    <w:p w:rsidR="00925F03" w:rsidRDefault="00925F03" w:rsidP="006F38E8">
      <w:pPr>
        <w:rPr>
          <w:sz w:val="22"/>
          <w:szCs w:val="22"/>
        </w:rPr>
      </w:pPr>
    </w:p>
    <w:p w:rsidR="00925F03" w:rsidRDefault="00925F03" w:rsidP="006F38E8">
      <w:pPr>
        <w:rPr>
          <w:sz w:val="22"/>
          <w:szCs w:val="22"/>
        </w:rPr>
      </w:pPr>
    </w:p>
    <w:p w:rsidR="00925F03" w:rsidRDefault="00925F03" w:rsidP="006F38E8">
      <w:pPr>
        <w:rPr>
          <w:sz w:val="22"/>
          <w:szCs w:val="22"/>
        </w:rPr>
      </w:pPr>
    </w:p>
    <w:p w:rsidR="00925F03" w:rsidRPr="00925F03" w:rsidRDefault="00925F03" w:rsidP="007810BA">
      <w:pPr>
        <w:jc w:val="right"/>
        <w:rPr>
          <w:sz w:val="16"/>
          <w:szCs w:val="16"/>
        </w:rPr>
      </w:pPr>
      <w:r>
        <w:rPr>
          <w:sz w:val="16"/>
          <w:szCs w:val="16"/>
        </w:rPr>
        <w:t xml:space="preserve">Revised OGC </w:t>
      </w:r>
      <w:r w:rsidR="00417A66">
        <w:rPr>
          <w:sz w:val="16"/>
          <w:szCs w:val="16"/>
        </w:rPr>
        <w:t>/ March</w:t>
      </w:r>
      <w:r w:rsidR="007810BA">
        <w:rPr>
          <w:sz w:val="16"/>
          <w:szCs w:val="16"/>
        </w:rPr>
        <w:t xml:space="preserve"> </w:t>
      </w:r>
      <w:r>
        <w:rPr>
          <w:sz w:val="16"/>
          <w:szCs w:val="16"/>
        </w:rPr>
        <w:t>2010</w:t>
      </w:r>
    </w:p>
    <w:sectPr w:rsidR="00925F03" w:rsidRPr="00925F03" w:rsidSect="00146307">
      <w:headerReference w:type="default" r:id="rId16"/>
      <w:type w:val="continuous"/>
      <w:pgSz w:w="12240" w:h="15840"/>
      <w:pgMar w:top="1440" w:right="1296"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9E8" w:rsidRDefault="00E869E8" w:rsidP="001A679C">
      <w:pPr>
        <w:spacing w:after="0" w:line="240" w:lineRule="auto"/>
      </w:pPr>
      <w:r>
        <w:separator/>
      </w:r>
    </w:p>
  </w:endnote>
  <w:endnote w:type="continuationSeparator" w:id="0">
    <w:p w:rsidR="00E869E8" w:rsidRDefault="00E869E8" w:rsidP="001A6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9E8" w:rsidRDefault="00E869E8" w:rsidP="001A679C">
      <w:pPr>
        <w:spacing w:after="0" w:line="240" w:lineRule="auto"/>
      </w:pPr>
      <w:r>
        <w:separator/>
      </w:r>
    </w:p>
  </w:footnote>
  <w:footnote w:type="continuationSeparator" w:id="0">
    <w:p w:rsidR="00E869E8" w:rsidRDefault="00E869E8" w:rsidP="001A6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952" w:rsidRDefault="00C80386">
    <w:pPr>
      <w:pStyle w:val="Header"/>
      <w:jc w:val="right"/>
    </w:pPr>
    <w:r>
      <w:fldChar w:fldCharType="begin"/>
    </w:r>
    <w:r>
      <w:instrText xml:space="preserve"> PAGE   \* MERGEFORMAT </w:instrText>
    </w:r>
    <w:r>
      <w:fldChar w:fldCharType="separate"/>
    </w:r>
    <w:r w:rsidR="00F463DE">
      <w:rPr>
        <w:noProof/>
      </w:rPr>
      <w:t>3</w:t>
    </w:r>
    <w:r>
      <w:fldChar w:fldCharType="end"/>
    </w:r>
  </w:p>
  <w:p w:rsidR="00BC2952" w:rsidRDefault="00BC2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26228"/>
    <w:multiLevelType w:val="hybridMultilevel"/>
    <w:tmpl w:val="C5C0D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BE71F9"/>
    <w:multiLevelType w:val="multilevel"/>
    <w:tmpl w:val="7D96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62D1B"/>
    <w:multiLevelType w:val="hybridMultilevel"/>
    <w:tmpl w:val="4C526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D9430C"/>
    <w:multiLevelType w:val="hybridMultilevel"/>
    <w:tmpl w:val="AA528884"/>
    <w:lvl w:ilvl="0" w:tplc="2FDA1DB8">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2FE64C00"/>
    <w:multiLevelType w:val="hybridMultilevel"/>
    <w:tmpl w:val="EAB4A674"/>
    <w:lvl w:ilvl="0" w:tplc="2FDA1D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9F7274"/>
    <w:multiLevelType w:val="hybridMultilevel"/>
    <w:tmpl w:val="5B903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3752FC"/>
    <w:multiLevelType w:val="hybridMultilevel"/>
    <w:tmpl w:val="E8A6B3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9DB25F9"/>
    <w:multiLevelType w:val="multilevel"/>
    <w:tmpl w:val="D062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F44775"/>
    <w:multiLevelType w:val="hybridMultilevel"/>
    <w:tmpl w:val="B672B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E240C"/>
    <w:multiLevelType w:val="multilevel"/>
    <w:tmpl w:val="3F40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8C0BD8"/>
    <w:multiLevelType w:val="multilevel"/>
    <w:tmpl w:val="08A0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0162DC"/>
    <w:multiLevelType w:val="multilevel"/>
    <w:tmpl w:val="CB48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B37554"/>
    <w:multiLevelType w:val="hybridMultilevel"/>
    <w:tmpl w:val="D6B0BCC6"/>
    <w:lvl w:ilvl="0" w:tplc="6968573C">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9B6056"/>
    <w:multiLevelType w:val="hybridMultilevel"/>
    <w:tmpl w:val="087CE5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4E3123"/>
    <w:multiLevelType w:val="hybridMultilevel"/>
    <w:tmpl w:val="BEFEB5D4"/>
    <w:lvl w:ilvl="0" w:tplc="2FDA1D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num>
  <w:num w:numId="4">
    <w:abstractNumId w:val="5"/>
  </w:num>
  <w:num w:numId="5">
    <w:abstractNumId w:val="13"/>
  </w:num>
  <w:num w:numId="6">
    <w:abstractNumId w:val="3"/>
  </w:num>
  <w:num w:numId="7">
    <w:abstractNumId w:val="4"/>
  </w:num>
  <w:num w:numId="8">
    <w:abstractNumId w:val="1"/>
  </w:num>
  <w:num w:numId="9">
    <w:abstractNumId w:val="11"/>
  </w:num>
  <w:num w:numId="10">
    <w:abstractNumId w:val="7"/>
  </w:num>
  <w:num w:numId="11">
    <w:abstractNumId w:val="9"/>
  </w:num>
  <w:num w:numId="12">
    <w:abstractNumId w:val="10"/>
  </w:num>
  <w:num w:numId="13">
    <w:abstractNumId w:val="2"/>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E8"/>
    <w:rsid w:val="00014816"/>
    <w:rsid w:val="00031869"/>
    <w:rsid w:val="00054DE0"/>
    <w:rsid w:val="00061755"/>
    <w:rsid w:val="00062CE7"/>
    <w:rsid w:val="0008349E"/>
    <w:rsid w:val="00084BD1"/>
    <w:rsid w:val="000C0055"/>
    <w:rsid w:val="000C63D4"/>
    <w:rsid w:val="00134B15"/>
    <w:rsid w:val="00146307"/>
    <w:rsid w:val="00153B13"/>
    <w:rsid w:val="00162844"/>
    <w:rsid w:val="0019373F"/>
    <w:rsid w:val="001A679C"/>
    <w:rsid w:val="00216915"/>
    <w:rsid w:val="002402D1"/>
    <w:rsid w:val="00240D02"/>
    <w:rsid w:val="00255EA9"/>
    <w:rsid w:val="00264102"/>
    <w:rsid w:val="00294467"/>
    <w:rsid w:val="002F126C"/>
    <w:rsid w:val="003258E6"/>
    <w:rsid w:val="00356A1E"/>
    <w:rsid w:val="00363550"/>
    <w:rsid w:val="00364A58"/>
    <w:rsid w:val="003A32C7"/>
    <w:rsid w:val="003D656F"/>
    <w:rsid w:val="003E6B0A"/>
    <w:rsid w:val="00412F0B"/>
    <w:rsid w:val="00417A66"/>
    <w:rsid w:val="00437C60"/>
    <w:rsid w:val="00452868"/>
    <w:rsid w:val="004617EB"/>
    <w:rsid w:val="004777D6"/>
    <w:rsid w:val="00482920"/>
    <w:rsid w:val="00492479"/>
    <w:rsid w:val="004B313E"/>
    <w:rsid w:val="004E4D99"/>
    <w:rsid w:val="00510F24"/>
    <w:rsid w:val="005177CE"/>
    <w:rsid w:val="005355A6"/>
    <w:rsid w:val="00553A02"/>
    <w:rsid w:val="00570F0B"/>
    <w:rsid w:val="00587801"/>
    <w:rsid w:val="005D2B26"/>
    <w:rsid w:val="006632FB"/>
    <w:rsid w:val="006819AA"/>
    <w:rsid w:val="00685C6A"/>
    <w:rsid w:val="00690AD8"/>
    <w:rsid w:val="006B0CE5"/>
    <w:rsid w:val="006B225F"/>
    <w:rsid w:val="006F38E8"/>
    <w:rsid w:val="00777D31"/>
    <w:rsid w:val="007810BA"/>
    <w:rsid w:val="00784A00"/>
    <w:rsid w:val="00795874"/>
    <w:rsid w:val="00797B4E"/>
    <w:rsid w:val="007F6462"/>
    <w:rsid w:val="008276FB"/>
    <w:rsid w:val="0087531D"/>
    <w:rsid w:val="008C31E7"/>
    <w:rsid w:val="009147AC"/>
    <w:rsid w:val="009176C8"/>
    <w:rsid w:val="00925F03"/>
    <w:rsid w:val="00943517"/>
    <w:rsid w:val="00953645"/>
    <w:rsid w:val="009B1DD9"/>
    <w:rsid w:val="009B62F2"/>
    <w:rsid w:val="00A21D3E"/>
    <w:rsid w:val="00A610DB"/>
    <w:rsid w:val="00A76E10"/>
    <w:rsid w:val="00AA1A12"/>
    <w:rsid w:val="00AF118B"/>
    <w:rsid w:val="00B0138E"/>
    <w:rsid w:val="00B2175D"/>
    <w:rsid w:val="00B34031"/>
    <w:rsid w:val="00B8314E"/>
    <w:rsid w:val="00BA5C69"/>
    <w:rsid w:val="00BC13C3"/>
    <w:rsid w:val="00BC2952"/>
    <w:rsid w:val="00C7611C"/>
    <w:rsid w:val="00C80386"/>
    <w:rsid w:val="00CD08E4"/>
    <w:rsid w:val="00D2395F"/>
    <w:rsid w:val="00D617B3"/>
    <w:rsid w:val="00D74E1B"/>
    <w:rsid w:val="00D80525"/>
    <w:rsid w:val="00DB0375"/>
    <w:rsid w:val="00DE3BAA"/>
    <w:rsid w:val="00DF07BF"/>
    <w:rsid w:val="00E237AD"/>
    <w:rsid w:val="00E412C8"/>
    <w:rsid w:val="00E61EE3"/>
    <w:rsid w:val="00E733CF"/>
    <w:rsid w:val="00E869E8"/>
    <w:rsid w:val="00ED02DF"/>
    <w:rsid w:val="00F32DE0"/>
    <w:rsid w:val="00F4576A"/>
    <w:rsid w:val="00F463DE"/>
    <w:rsid w:val="00F6637A"/>
    <w:rsid w:val="00F8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7A2FD0-2482-4E11-A969-2FA1A17C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CE5"/>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8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F38E8"/>
    <w:rPr>
      <w:rFonts w:ascii="Tahoma" w:hAnsi="Tahoma" w:cs="Tahoma"/>
      <w:sz w:val="16"/>
      <w:szCs w:val="16"/>
    </w:rPr>
  </w:style>
  <w:style w:type="paragraph" w:styleId="ListParagraph">
    <w:name w:val="List Paragraph"/>
    <w:basedOn w:val="Normal"/>
    <w:uiPriority w:val="34"/>
    <w:qFormat/>
    <w:rsid w:val="00014816"/>
    <w:pPr>
      <w:ind w:left="720"/>
      <w:contextualSpacing/>
    </w:pPr>
  </w:style>
  <w:style w:type="character" w:styleId="Hyperlink">
    <w:name w:val="Hyperlink"/>
    <w:uiPriority w:val="99"/>
    <w:unhideWhenUsed/>
    <w:rsid w:val="001A679C"/>
    <w:rPr>
      <w:color w:val="0000FF"/>
      <w:u w:val="single"/>
    </w:rPr>
  </w:style>
  <w:style w:type="paragraph" w:styleId="Header">
    <w:name w:val="header"/>
    <w:basedOn w:val="Normal"/>
    <w:link w:val="HeaderChar"/>
    <w:uiPriority w:val="99"/>
    <w:unhideWhenUsed/>
    <w:rsid w:val="001A6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79C"/>
  </w:style>
  <w:style w:type="paragraph" w:styleId="Footer">
    <w:name w:val="footer"/>
    <w:basedOn w:val="Normal"/>
    <w:link w:val="FooterChar"/>
    <w:uiPriority w:val="99"/>
    <w:unhideWhenUsed/>
    <w:rsid w:val="001A6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79C"/>
  </w:style>
  <w:style w:type="table" w:styleId="TableGrid">
    <w:name w:val="Table Grid"/>
    <w:basedOn w:val="TableNormal"/>
    <w:uiPriority w:val="59"/>
    <w:rsid w:val="008C31E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ED02DF"/>
    <w:rPr>
      <w:sz w:val="16"/>
      <w:szCs w:val="16"/>
    </w:rPr>
  </w:style>
  <w:style w:type="paragraph" w:styleId="CommentText">
    <w:name w:val="annotation text"/>
    <w:basedOn w:val="Normal"/>
    <w:link w:val="CommentTextChar"/>
    <w:uiPriority w:val="99"/>
    <w:semiHidden/>
    <w:unhideWhenUsed/>
    <w:rsid w:val="00ED02DF"/>
    <w:pPr>
      <w:spacing w:line="240" w:lineRule="auto"/>
    </w:pPr>
    <w:rPr>
      <w:sz w:val="20"/>
      <w:szCs w:val="20"/>
    </w:rPr>
  </w:style>
  <w:style w:type="character" w:customStyle="1" w:styleId="CommentTextChar">
    <w:name w:val="Comment Text Char"/>
    <w:basedOn w:val="DefaultParagraphFont"/>
    <w:link w:val="CommentText"/>
    <w:uiPriority w:val="99"/>
    <w:semiHidden/>
    <w:rsid w:val="00ED02DF"/>
  </w:style>
  <w:style w:type="paragraph" w:styleId="CommentSubject">
    <w:name w:val="annotation subject"/>
    <w:basedOn w:val="CommentText"/>
    <w:next w:val="CommentText"/>
    <w:link w:val="CommentSubjectChar"/>
    <w:uiPriority w:val="99"/>
    <w:semiHidden/>
    <w:unhideWhenUsed/>
    <w:rsid w:val="00ED02DF"/>
    <w:rPr>
      <w:b/>
      <w:bCs/>
    </w:rPr>
  </w:style>
  <w:style w:type="character" w:customStyle="1" w:styleId="CommentSubjectChar">
    <w:name w:val="Comment Subject Char"/>
    <w:link w:val="CommentSubject"/>
    <w:uiPriority w:val="99"/>
    <w:semiHidden/>
    <w:rsid w:val="00ED02DF"/>
    <w:rPr>
      <w:b/>
      <w:bCs/>
    </w:rPr>
  </w:style>
  <w:style w:type="character" w:styleId="FollowedHyperlink">
    <w:name w:val="FollowedHyperlink"/>
    <w:uiPriority w:val="99"/>
    <w:semiHidden/>
    <w:unhideWhenUsed/>
    <w:rsid w:val="00364A5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02741">
      <w:bodyDiv w:val="1"/>
      <w:marLeft w:val="0"/>
      <w:marRight w:val="0"/>
      <w:marTop w:val="0"/>
      <w:marBottom w:val="0"/>
      <w:divBdr>
        <w:top w:val="none" w:sz="0" w:space="0" w:color="auto"/>
        <w:left w:val="none" w:sz="0" w:space="0" w:color="auto"/>
        <w:bottom w:val="none" w:sz="0" w:space="0" w:color="auto"/>
        <w:right w:val="none" w:sz="0" w:space="0" w:color="auto"/>
      </w:divBdr>
    </w:div>
    <w:div w:id="996878992">
      <w:bodyDiv w:val="1"/>
      <w:marLeft w:val="0"/>
      <w:marRight w:val="0"/>
      <w:marTop w:val="0"/>
      <w:marBottom w:val="0"/>
      <w:divBdr>
        <w:top w:val="none" w:sz="0" w:space="0" w:color="auto"/>
        <w:left w:val="none" w:sz="0" w:space="0" w:color="auto"/>
        <w:bottom w:val="none" w:sz="0" w:space="0" w:color="auto"/>
        <w:right w:val="none" w:sz="0" w:space="0" w:color="auto"/>
      </w:divBdr>
    </w:div>
    <w:div w:id="1536387867">
      <w:bodyDiv w:val="1"/>
      <w:marLeft w:val="0"/>
      <w:marRight w:val="0"/>
      <w:marTop w:val="0"/>
      <w:marBottom w:val="0"/>
      <w:divBdr>
        <w:top w:val="none" w:sz="0" w:space="0" w:color="auto"/>
        <w:left w:val="none" w:sz="0" w:space="0" w:color="auto"/>
        <w:bottom w:val="none" w:sz="0" w:space="0" w:color="auto"/>
        <w:right w:val="none" w:sz="0" w:space="0" w:color="auto"/>
      </w:divBdr>
    </w:div>
    <w:div w:id="20577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sa.visa.com/merchants/risk_management/cisp_service_provider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cisecuritystandards.org/security_standards/vp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isecuritystandards.org/saq/docs/aoc_merchants.doc" TargetMode="External"/><Relationship Id="rId5" Type="http://schemas.openxmlformats.org/officeDocument/2006/relationships/webSettings" Target="webSettings.xml"/><Relationship Id="rId15" Type="http://schemas.openxmlformats.org/officeDocument/2006/relationships/hyperlink" Target="http://www.mastercard.com/us/merchant/support/merchant_education.html%20"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pcisecuritystandards.org/security_standards/pci_dss.shtml" TargetMode="External"/><Relationship Id="rId14" Type="http://schemas.openxmlformats.org/officeDocument/2006/relationships/hyperlink" Target="https://www.pcisecuritystandards.org/index.shtml%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74B62-44A0-4D8B-A4CF-A241FCC5B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Minnesota State Colleges and Universities</Company>
  <LinksUpToDate>false</LinksUpToDate>
  <CharactersWithSpaces>6299</CharactersWithSpaces>
  <SharedDoc>false</SharedDoc>
  <HLinks>
    <vt:vector size="36" baseType="variant">
      <vt:variant>
        <vt:i4>5374061</vt:i4>
      </vt:variant>
      <vt:variant>
        <vt:i4>15</vt:i4>
      </vt:variant>
      <vt:variant>
        <vt:i4>0</vt:i4>
      </vt:variant>
      <vt:variant>
        <vt:i4>5</vt:i4>
      </vt:variant>
      <vt:variant>
        <vt:lpwstr>http://www.mastercard.com/us/merchant/support/merchant_education.html</vt:lpwstr>
      </vt:variant>
      <vt:variant>
        <vt:lpwstr/>
      </vt:variant>
      <vt:variant>
        <vt:i4>6029333</vt:i4>
      </vt:variant>
      <vt:variant>
        <vt:i4>12</vt:i4>
      </vt:variant>
      <vt:variant>
        <vt:i4>0</vt:i4>
      </vt:variant>
      <vt:variant>
        <vt:i4>5</vt:i4>
      </vt:variant>
      <vt:variant>
        <vt:lpwstr>https://www.pcisecuritystandards.org/index.shtml</vt:lpwstr>
      </vt:variant>
      <vt:variant>
        <vt:lpwstr/>
      </vt:variant>
      <vt:variant>
        <vt:i4>5439546</vt:i4>
      </vt:variant>
      <vt:variant>
        <vt:i4>9</vt:i4>
      </vt:variant>
      <vt:variant>
        <vt:i4>0</vt:i4>
      </vt:variant>
      <vt:variant>
        <vt:i4>5</vt:i4>
      </vt:variant>
      <vt:variant>
        <vt:lpwstr>http://usa.visa.com/merchants/risk_management/cisp_service_providers.html</vt:lpwstr>
      </vt:variant>
      <vt:variant>
        <vt:lpwstr/>
      </vt:variant>
      <vt:variant>
        <vt:i4>6553685</vt:i4>
      </vt:variant>
      <vt:variant>
        <vt:i4>6</vt:i4>
      </vt:variant>
      <vt:variant>
        <vt:i4>0</vt:i4>
      </vt:variant>
      <vt:variant>
        <vt:i4>5</vt:i4>
      </vt:variant>
      <vt:variant>
        <vt:lpwstr>https://www.pcisecuritystandards.org/security_standards/vpa/</vt:lpwstr>
      </vt:variant>
      <vt:variant>
        <vt:lpwstr/>
      </vt:variant>
      <vt:variant>
        <vt:i4>655467</vt:i4>
      </vt:variant>
      <vt:variant>
        <vt:i4>3</vt:i4>
      </vt:variant>
      <vt:variant>
        <vt:i4>0</vt:i4>
      </vt:variant>
      <vt:variant>
        <vt:i4>5</vt:i4>
      </vt:variant>
      <vt:variant>
        <vt:lpwstr>https://www.pcisecuritystandards.org/saq/docs/aoc_merchants.doc</vt:lpwstr>
      </vt:variant>
      <vt:variant>
        <vt:lpwstr/>
      </vt:variant>
      <vt:variant>
        <vt:i4>6225995</vt:i4>
      </vt:variant>
      <vt:variant>
        <vt:i4>0</vt:i4>
      </vt:variant>
      <vt:variant>
        <vt:i4>0</vt:i4>
      </vt:variant>
      <vt:variant>
        <vt:i4>5</vt:i4>
      </vt:variant>
      <vt:variant>
        <vt:lpwstr>https://www.pcisecuritystandards.org/security_standards/pci_dss.shtml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Joyer</dc:creator>
  <cp:lastModifiedBy>Celena Monn</cp:lastModifiedBy>
  <cp:revision>2</cp:revision>
  <cp:lastPrinted>2010-03-12T16:46:00Z</cp:lastPrinted>
  <dcterms:created xsi:type="dcterms:W3CDTF">2017-01-11T20:49:00Z</dcterms:created>
  <dcterms:modified xsi:type="dcterms:W3CDTF">2017-01-11T20:49:00Z</dcterms:modified>
</cp:coreProperties>
</file>